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7BD" w:rsidRDefault="002F6DEA">
      <w:pPr>
        <w:rPr>
          <w:b/>
        </w:rPr>
      </w:pPr>
      <w:r w:rsidRPr="00EF516B">
        <w:rPr>
          <w:b/>
          <w:noProof/>
          <w:color w:val="FF0000"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95E612" wp14:editId="2DA80C98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182880" cy="193040"/>
                <wp:effectExtent l="0" t="0" r="762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FF48E7" id="Grupo 5" o:spid="_x0000_s1026" style="position:absolute;margin-left:-36.8pt;margin-top:0;width:14.4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2F6DEA">
        <w:rPr>
          <w:b/>
          <w:color w:val="FF0000"/>
        </w:rPr>
        <w:t>R7</w:t>
      </w:r>
      <w:r w:rsidRPr="002F6DEA">
        <w:t xml:space="preserve"> </w:t>
      </w:r>
      <w:r w:rsidRPr="002F6DEA">
        <w:rPr>
          <w:b/>
        </w:rPr>
        <w:t>Inventario de residuos, su clasificación, modo de almacenaje y frecuencia de retirada: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2264"/>
        <w:gridCol w:w="1982"/>
        <w:gridCol w:w="2124"/>
        <w:gridCol w:w="2124"/>
      </w:tblGrid>
      <w:tr w:rsidR="002F6DEA" w:rsidRPr="002F6DEA" w:rsidTr="002F6DEA">
        <w:trPr>
          <w:trHeight w:val="998"/>
        </w:trPr>
        <w:tc>
          <w:tcPr>
            <w:tcW w:w="133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b/>
                <w:color w:val="FFFFFF" w:themeColor="background1"/>
                <w:sz w:val="18"/>
              </w:rPr>
            </w:pPr>
            <w:r w:rsidRPr="002F6DEA">
              <w:rPr>
                <w:rFonts w:cstheme="minorHAnsi"/>
                <w:b/>
                <w:color w:val="FFFFFF" w:themeColor="background1"/>
                <w:sz w:val="18"/>
              </w:rPr>
              <w:t>Identificación residuos específicos</w:t>
            </w:r>
          </w:p>
        </w:tc>
        <w:tc>
          <w:tcPr>
            <w:tcW w:w="116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b/>
                <w:color w:val="FFFFFF" w:themeColor="background1"/>
                <w:sz w:val="18"/>
              </w:rPr>
            </w:pPr>
            <w:r w:rsidRPr="002F6DEA">
              <w:rPr>
                <w:rFonts w:cstheme="minorHAnsi"/>
                <w:b/>
                <w:color w:val="FFFFFF" w:themeColor="background1"/>
                <w:sz w:val="18"/>
              </w:rPr>
              <w:t>Tipo (Residuo Sólido Urbano RSU o Residuo de Riesgo específico RRE</w:t>
            </w:r>
            <w:r w:rsidRPr="002F6DEA">
              <w:rPr>
                <w:rFonts w:cstheme="minorHAnsi"/>
                <w:b/>
                <w:color w:val="FFFFFF" w:themeColor="background1"/>
                <w:sz w:val="18"/>
                <w:vertAlign w:val="superscript"/>
              </w:rPr>
              <w:t>1</w:t>
            </w:r>
            <w:r w:rsidRPr="002F6DEA">
              <w:rPr>
                <w:rFonts w:cstheme="minorHAnsi"/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125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b/>
                <w:color w:val="FFFFFF" w:themeColor="background1"/>
                <w:sz w:val="18"/>
              </w:rPr>
            </w:pPr>
            <w:r w:rsidRPr="002F6DEA">
              <w:rPr>
                <w:rFonts w:cstheme="minorHAnsi"/>
                <w:b/>
                <w:color w:val="FFFFFF" w:themeColor="background1"/>
                <w:sz w:val="18"/>
              </w:rPr>
              <w:t>Tipo de recipiente</w:t>
            </w:r>
            <w:r w:rsidRPr="002F6DEA">
              <w:rPr>
                <w:rFonts w:cstheme="minorHAnsi"/>
                <w:b/>
                <w:color w:val="FFFFFF" w:themeColor="background1"/>
                <w:sz w:val="18"/>
                <w:vertAlign w:val="superscript"/>
              </w:rPr>
              <w:t>2</w:t>
            </w:r>
            <w:r w:rsidRPr="002F6DEA">
              <w:rPr>
                <w:rFonts w:cstheme="minorHAnsi"/>
                <w:b/>
                <w:color w:val="FFFFFF" w:themeColor="background1"/>
                <w:sz w:val="18"/>
              </w:rPr>
              <w:t xml:space="preserve"> (describir)</w:t>
            </w:r>
          </w:p>
        </w:tc>
        <w:tc>
          <w:tcPr>
            <w:tcW w:w="125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b/>
                <w:color w:val="FFFFFF" w:themeColor="background1"/>
                <w:sz w:val="18"/>
              </w:rPr>
            </w:pPr>
            <w:r w:rsidRPr="002F6DEA">
              <w:rPr>
                <w:rFonts w:cstheme="minorHAnsi"/>
                <w:b/>
                <w:color w:val="FFFFFF" w:themeColor="background1"/>
                <w:sz w:val="18"/>
              </w:rPr>
              <w:t>Frecuencia de eliminación (diaria / semanal / otra)</w:t>
            </w:r>
          </w:p>
        </w:tc>
      </w:tr>
      <w:tr w:rsidR="002F6DEA" w:rsidRPr="002F6DEA" w:rsidTr="002F6DEA">
        <w:trPr>
          <w:trHeight w:val="328"/>
        </w:trPr>
        <w:tc>
          <w:tcPr>
            <w:tcW w:w="1333" w:type="pct"/>
            <w:tcBorders>
              <w:top w:val="single" w:sz="4" w:space="0" w:color="FFFFFF" w:themeColor="background1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Agujas</w:t>
            </w:r>
          </w:p>
        </w:tc>
        <w:tc>
          <w:tcPr>
            <w:tcW w:w="1167" w:type="pct"/>
            <w:tcBorders>
              <w:top w:val="single" w:sz="4" w:space="0" w:color="FFFFFF" w:themeColor="background1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FFFFFF" w:themeColor="background1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FFFFFF" w:themeColor="background1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  <w:tr w:rsidR="002F6DEA" w:rsidRPr="002F6DEA" w:rsidTr="002F6DEA">
        <w:trPr>
          <w:trHeight w:val="389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2F6DEA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Ot</w:t>
            </w:r>
            <w:r w:rsidRPr="002F6DEA">
              <w:rPr>
                <w:rFonts w:cstheme="minorHAnsi"/>
                <w:sz w:val="18"/>
              </w:rPr>
              <w:t>ro materia punzante / cortante (identificar)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</w:p>
        </w:tc>
      </w:tr>
      <w:tr w:rsidR="002F6DEA" w:rsidRPr="002F6DEA" w:rsidTr="002F6DEA">
        <w:trPr>
          <w:trHeight w:val="467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Tubos para agujas desechable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</w:p>
        </w:tc>
      </w:tr>
      <w:tr w:rsidR="002F6DEA" w:rsidRPr="002F6DEA" w:rsidTr="002F6DEA">
        <w:trPr>
          <w:trHeight w:val="613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  <w:highlight w:val="cyan"/>
              </w:rPr>
            </w:pPr>
            <w:r w:rsidRPr="002F6DEA">
              <w:rPr>
                <w:rFonts w:cstheme="minorHAnsi"/>
                <w:sz w:val="18"/>
              </w:rPr>
              <w:t>Cuchillas afeitar un solo uso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  <w:tr w:rsidR="002F6DEA" w:rsidRPr="002F6DEA" w:rsidTr="002F6DEA">
        <w:trPr>
          <w:trHeight w:val="499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Recipientes de pigmentos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  <w:tr w:rsidR="002F6DEA" w:rsidRPr="002F6DEA" w:rsidTr="002F6DEA">
        <w:trPr>
          <w:trHeight w:val="514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Recipientes intermedios para pigmentos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</w:p>
        </w:tc>
      </w:tr>
      <w:tr w:rsidR="002F6DEA" w:rsidRPr="002F6DEA" w:rsidTr="002F6DEA">
        <w:trPr>
          <w:trHeight w:val="399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Otros envases y envolturas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  <w:tr w:rsidR="002F6DEA" w:rsidRPr="002F6DEA" w:rsidTr="002F6DEA">
        <w:trPr>
          <w:trHeight w:val="569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Papel de recubrimiento camillas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  <w:tr w:rsidR="002F6DEA" w:rsidRPr="002F6DEA" w:rsidTr="002F6DEA">
        <w:trPr>
          <w:trHeight w:val="512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Film de recubrimiento de máquina de tatuar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  <w:tr w:rsidR="002F6DEA" w:rsidRPr="002F6DEA" w:rsidTr="002F6DEA">
        <w:trPr>
          <w:trHeight w:val="485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color w:val="0000FF"/>
                <w:sz w:val="18"/>
              </w:rPr>
            </w:pPr>
            <w:r w:rsidRPr="002F6DEA">
              <w:rPr>
                <w:rFonts w:cstheme="minorHAnsi"/>
                <w:sz w:val="18"/>
              </w:rPr>
              <w:t>Mangas de plástico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  <w:tr w:rsidR="002F6DEA" w:rsidRPr="002F6DEA" w:rsidTr="002F6DEA">
        <w:trPr>
          <w:trHeight w:val="349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Identificar: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  <w:tr w:rsidR="002F6DEA" w:rsidRPr="002F6DEA" w:rsidTr="002F6DEA">
        <w:trPr>
          <w:trHeight w:val="232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>Identificar: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  <w:tr w:rsidR="002F6DEA" w:rsidRPr="002F6DEA" w:rsidTr="002F6DEA">
        <w:trPr>
          <w:trHeight w:val="99"/>
        </w:trPr>
        <w:tc>
          <w:tcPr>
            <w:tcW w:w="13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DEA" w:rsidRPr="002F6DEA" w:rsidRDefault="002F6DEA" w:rsidP="00DA35B6">
            <w:pPr>
              <w:ind w:left="720"/>
              <w:rPr>
                <w:rFonts w:cstheme="minorHAnsi"/>
                <w:sz w:val="18"/>
              </w:rPr>
            </w:pPr>
            <w:r w:rsidRPr="002F6DEA">
              <w:rPr>
                <w:rFonts w:cstheme="minorHAnsi"/>
                <w:sz w:val="18"/>
              </w:rPr>
              <w:t xml:space="preserve"> </w:t>
            </w:r>
          </w:p>
        </w:tc>
      </w:tr>
    </w:tbl>
    <w:p w:rsidR="002F6DEA" w:rsidRPr="002F6DEA" w:rsidRDefault="002F6DEA" w:rsidP="002F6DEA">
      <w:pPr>
        <w:spacing w:before="240" w:after="240"/>
        <w:jc w:val="both"/>
        <w:rPr>
          <w:rFonts w:cstheme="minorHAnsi"/>
          <w:sz w:val="18"/>
        </w:rPr>
      </w:pPr>
      <w:r w:rsidRPr="002F6DEA">
        <w:rPr>
          <w:rFonts w:cstheme="minorHAnsi"/>
          <w:sz w:val="18"/>
          <w:vertAlign w:val="superscript"/>
        </w:rPr>
        <w:t>1</w:t>
      </w:r>
      <w:r w:rsidRPr="002F6DEA">
        <w:rPr>
          <w:rFonts w:cstheme="minorHAnsi"/>
          <w:sz w:val="18"/>
        </w:rPr>
        <w:t xml:space="preserve"> Los residuos de riesgo específico que pueden generarse fundamentalmente van a ser los cortantes y punzantes, así como los residuos químicos como restos y envases de biocidas de uso profesional. Estos requieren su retirada por empresa autorizada. Deben identificar la empresa de gestión de residuos en su caso y documentar la relación comercial (contrato con la empresa gestora que incluya las frecuencias de su retirada).</w:t>
      </w:r>
    </w:p>
    <w:p w:rsidR="002F6DEA" w:rsidRPr="002F6DEA" w:rsidRDefault="002F6DEA" w:rsidP="002F6DEA">
      <w:pPr>
        <w:spacing w:before="240" w:after="240"/>
        <w:jc w:val="both"/>
        <w:rPr>
          <w:rFonts w:cstheme="minorHAnsi"/>
          <w:sz w:val="18"/>
        </w:rPr>
      </w:pPr>
      <w:r w:rsidRPr="002F6DEA">
        <w:rPr>
          <w:rFonts w:cstheme="minorHAnsi"/>
          <w:sz w:val="18"/>
          <w:vertAlign w:val="superscript"/>
        </w:rPr>
        <w:t xml:space="preserve">2 </w:t>
      </w:r>
      <w:r w:rsidRPr="002F6DEA">
        <w:rPr>
          <w:rFonts w:cstheme="minorHAnsi"/>
          <w:sz w:val="18"/>
        </w:rPr>
        <w:t xml:space="preserve">Identificar recipientes específicos (agujas,…): cerrados, de fácil limpieza y desinfección, con tapadera de ajuste, </w:t>
      </w:r>
      <w:bookmarkStart w:id="0" w:name="_GoBack"/>
      <w:bookmarkEnd w:id="0"/>
      <w:r w:rsidRPr="002F6DEA">
        <w:rPr>
          <w:rFonts w:cstheme="minorHAnsi"/>
          <w:sz w:val="18"/>
        </w:rPr>
        <w:t>identificar claramente en el exterior del envase su función.</w:t>
      </w:r>
    </w:p>
    <w:p w:rsidR="002F6DEA" w:rsidRPr="002F6DEA" w:rsidRDefault="002F6DEA" w:rsidP="002F6DEA">
      <w:pPr>
        <w:pStyle w:val="NormalWeb"/>
        <w:spacing w:before="240" w:beforeAutospacing="0" w:after="240" w:afterAutospacing="0"/>
        <w:jc w:val="both"/>
        <w:textAlignment w:val="baseline"/>
        <w:rPr>
          <w:b/>
          <w:sz w:val="18"/>
        </w:rPr>
      </w:pPr>
      <w:r w:rsidRPr="002F6DEA">
        <w:rPr>
          <w:rFonts w:asciiTheme="minorHAnsi" w:eastAsiaTheme="minorHAnsi" w:hAnsiTheme="minorHAnsi" w:cstheme="minorHAnsi"/>
          <w:sz w:val="18"/>
          <w:szCs w:val="22"/>
          <w:lang w:eastAsia="en-US"/>
        </w:rPr>
        <w:t xml:space="preserve">Los objetos cortantes o punzantes que puedan estar contaminados de sangre se manejarán y desecharán de manera adecuada para prevenir accidentes, almacenándolos en dichos recipientes estancos y rígidos, identificados y retirados por empresa autorizada con la frecuencia que se determine contractualmente. </w:t>
      </w:r>
    </w:p>
    <w:sectPr w:rsidR="002F6DEA" w:rsidRPr="002F6DEA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DEA" w:rsidRDefault="002F6DEA" w:rsidP="002F6DEA">
      <w:pPr>
        <w:spacing w:after="0" w:line="240" w:lineRule="auto"/>
      </w:pPr>
      <w:r>
        <w:separator/>
      </w:r>
    </w:p>
  </w:endnote>
  <w:endnote w:type="continuationSeparator" w:id="0">
    <w:p w:rsidR="002F6DEA" w:rsidRDefault="002F6DEA" w:rsidP="002F6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DEA" w:rsidRPr="002F6DEA" w:rsidRDefault="002F6DEA" w:rsidP="002F6DEA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2F6DEA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5796DA" wp14:editId="0C42EE35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5220B8D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2F6DEA">
      <w:rPr>
        <w:sz w:val="14"/>
      </w:rPr>
      <w:t>GUÍA DE SISTEMAS DE AUTOCONTROL DE ESTABLECIMIENTOS E INSTALACIONES DE TATUAJE, MICROPIGMENTACIÓN Y PIERCING EN ANDALUCÍA</w:t>
    </w:r>
  </w:p>
  <w:p w:rsidR="002F6DEA" w:rsidRDefault="002F6DE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DEA" w:rsidRDefault="002F6DEA" w:rsidP="002F6DEA">
      <w:pPr>
        <w:spacing w:after="0" w:line="240" w:lineRule="auto"/>
      </w:pPr>
      <w:r>
        <w:separator/>
      </w:r>
    </w:p>
  </w:footnote>
  <w:footnote w:type="continuationSeparator" w:id="0">
    <w:p w:rsidR="002F6DEA" w:rsidRDefault="002F6DEA" w:rsidP="002F6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E436C0"/>
    <w:multiLevelType w:val="hybridMultilevel"/>
    <w:tmpl w:val="68B683FA"/>
    <w:lvl w:ilvl="0" w:tplc="CB04E7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FA6CE8C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DEA"/>
    <w:rsid w:val="002F6DEA"/>
    <w:rsid w:val="00A2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F9C0-4374-41F1-80BD-7A67A08A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F6DE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2F6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F6D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6DEA"/>
  </w:style>
  <w:style w:type="paragraph" w:styleId="Piedepgina">
    <w:name w:val="footer"/>
    <w:basedOn w:val="Normal"/>
    <w:link w:val="PiedepginaCar"/>
    <w:uiPriority w:val="99"/>
    <w:unhideWhenUsed/>
    <w:rsid w:val="002F6D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6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1</cp:revision>
  <dcterms:created xsi:type="dcterms:W3CDTF">2022-05-11T07:50:00Z</dcterms:created>
  <dcterms:modified xsi:type="dcterms:W3CDTF">2022-05-11T07:58:00Z</dcterms:modified>
</cp:coreProperties>
</file>