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A65DB" w14:textId="77777777" w:rsidR="00CF0099" w:rsidRPr="00CF0099" w:rsidRDefault="005E663D" w:rsidP="00D51B11">
      <w:pPr>
        <w:jc w:val="center"/>
        <w:rPr>
          <w:b/>
        </w:rPr>
      </w:pPr>
      <w:r>
        <w:rPr>
          <w:b/>
        </w:rPr>
        <w:t>D</w:t>
      </w:r>
      <w:r w:rsidR="00CF0099" w:rsidRPr="00CF0099">
        <w:rPr>
          <w:b/>
        </w:rPr>
        <w:t xml:space="preserve">eclaración responsable sobre el cumplimiento del principio de no </w:t>
      </w:r>
      <w:r w:rsidR="000D1AA0">
        <w:rPr>
          <w:b/>
        </w:rPr>
        <w:t xml:space="preserve">causar un </w:t>
      </w:r>
      <w:r w:rsidR="00CF0099" w:rsidRPr="00CF0099">
        <w:rPr>
          <w:b/>
        </w:rPr>
        <w:t>perjuicio significativo a</w:t>
      </w:r>
      <w:r w:rsidR="000D1AA0">
        <w:rPr>
          <w:b/>
        </w:rPr>
        <w:t>l medio ambiente (DNSH)</w:t>
      </w:r>
    </w:p>
    <w:p w14:paraId="32D26517" w14:textId="77777777" w:rsidR="00CF0099" w:rsidRDefault="00CF0099" w:rsidP="00D51B11">
      <w:pPr>
        <w:jc w:val="both"/>
      </w:pPr>
    </w:p>
    <w:p w14:paraId="4C7CF7B9" w14:textId="77777777" w:rsidR="00CF0099" w:rsidRDefault="00CF0099" w:rsidP="00D51B11">
      <w:pPr>
        <w:jc w:val="both"/>
      </w:pPr>
      <w:r>
        <w:t>El declarante:</w:t>
      </w:r>
    </w:p>
    <w:p w14:paraId="71386246" w14:textId="77777777" w:rsidR="00CF0099" w:rsidRDefault="00CF0099" w:rsidP="00D51B11">
      <w:pPr>
        <w:jc w:val="both"/>
      </w:pPr>
      <w:r>
        <w:t>Don/doña:</w:t>
      </w:r>
    </w:p>
    <w:p w14:paraId="1B1F111E" w14:textId="77777777" w:rsidR="00CF0099" w:rsidRDefault="00CF0099" w:rsidP="00D51B11">
      <w:pPr>
        <w:jc w:val="both"/>
      </w:pPr>
    </w:p>
    <w:p w14:paraId="11E05EC7" w14:textId="77777777" w:rsidR="00CF0099" w:rsidRDefault="00CF0099" w:rsidP="00D51B11">
      <w:pPr>
        <w:jc w:val="both"/>
      </w:pPr>
      <w:r>
        <w:t>En calidad de:</w:t>
      </w:r>
      <w:r w:rsidR="00D51B11">
        <w:t xml:space="preserve"> </w:t>
      </w:r>
    </w:p>
    <w:p w14:paraId="67A0B894" w14:textId="77777777" w:rsidR="00CF0099" w:rsidRDefault="00CF0099" w:rsidP="00D51B11">
      <w:pPr>
        <w:jc w:val="both"/>
      </w:pPr>
      <w:r>
        <w:t>Con NIF:</w:t>
      </w:r>
    </w:p>
    <w:p w14:paraId="1BD60020" w14:textId="77777777" w:rsidR="00CF0099" w:rsidRDefault="00CF0099" w:rsidP="00D51B11">
      <w:pPr>
        <w:jc w:val="both"/>
      </w:pPr>
    </w:p>
    <w:p w14:paraId="7BCF96DA" w14:textId="77777777" w:rsidR="00CF0099" w:rsidRDefault="00CF0099" w:rsidP="00D51B11">
      <w:pPr>
        <w:jc w:val="both"/>
      </w:pPr>
      <w:r>
        <w:t>En representación de:</w:t>
      </w:r>
    </w:p>
    <w:p w14:paraId="65DB111E" w14:textId="77777777" w:rsidR="00CF0099" w:rsidRDefault="00CF0099" w:rsidP="00D51B11">
      <w:pPr>
        <w:jc w:val="both"/>
      </w:pPr>
      <w:r>
        <w:t>Con NIF:</w:t>
      </w:r>
    </w:p>
    <w:p w14:paraId="202CA9B5" w14:textId="77777777" w:rsidR="00CF0099" w:rsidRDefault="00CF0099" w:rsidP="00D51B11">
      <w:pPr>
        <w:jc w:val="both"/>
      </w:pPr>
    </w:p>
    <w:p w14:paraId="6C773741" w14:textId="36E2CB82" w:rsidR="00CF0099" w:rsidRPr="00BE7371" w:rsidRDefault="00CF0099" w:rsidP="00D51B11">
      <w:pPr>
        <w:jc w:val="both"/>
      </w:pPr>
      <w:r>
        <w:t xml:space="preserve">Declara bajo su responsabilidad: Que la entidad a la cual representa, teniendo en cuenta todas las fases del ciclo de vida del proyecto o actividad a desarrollar, tanto durante su implantación como al final de su </w:t>
      </w:r>
      <w:r w:rsidRPr="00BE7371">
        <w:t xml:space="preserve">vida útil, </w:t>
      </w:r>
      <w:r w:rsidR="00A70385" w:rsidRPr="00BE7371">
        <w:t>ha cumplido</w:t>
      </w:r>
      <w:r w:rsidRPr="00BE7371">
        <w:t xml:space="preserve"> con el principio DNSH de «no causar un perjuicio significativo</w:t>
      </w:r>
      <w:bookmarkStart w:id="0" w:name="_Hlk178250885"/>
      <w:r w:rsidRPr="00BE7371">
        <w:t>»</w:t>
      </w:r>
      <w:bookmarkEnd w:id="0"/>
      <w:r w:rsidRPr="00BE7371">
        <w:t xml:space="preserve"> exigido por el Reglamento (UE) 2021/241, por el que se establece el Mecanismo de Recuperación y Resiliencia,</w:t>
      </w:r>
      <w:r w:rsidR="00D51B11">
        <w:t xml:space="preserve"> según aparece en el componente 24</w:t>
      </w:r>
      <w:r w:rsidR="00206273">
        <w:t xml:space="preserve"> </w:t>
      </w:r>
      <w:r w:rsidR="00206273" w:rsidRPr="00BE7371">
        <w:t>«</w:t>
      </w:r>
      <w:r w:rsidR="00206273">
        <w:t>Revaloración de la Industria Cultura</w:t>
      </w:r>
      <w:r w:rsidR="00FD4AD4">
        <w:t>l</w:t>
      </w:r>
      <w:r w:rsidR="00206273" w:rsidRPr="00BE7371">
        <w:t>»</w:t>
      </w:r>
      <w:r w:rsidR="00206273">
        <w:t xml:space="preserve">, medida correspondiente a la inversión 1 </w:t>
      </w:r>
      <w:r w:rsidR="00206273" w:rsidRPr="00BE7371">
        <w:t>«</w:t>
      </w:r>
      <w:r w:rsidR="00206273">
        <w:t>Reforzar la competitividad de las industrias culturales</w:t>
      </w:r>
      <w:r w:rsidR="00206273" w:rsidRPr="00BE7371">
        <w:t>»</w:t>
      </w:r>
      <w:r w:rsidR="00206273">
        <w:t xml:space="preserve">, y al proyecto 01 </w:t>
      </w:r>
      <w:r w:rsidR="00206273" w:rsidRPr="00BE7371">
        <w:t>«</w:t>
      </w:r>
      <w:r w:rsidR="00206273">
        <w:t xml:space="preserve"> Apoyo a aceleradoras culturales que maximice el desarrollo de proyectos culturales  de alto potencial de crecimiento</w:t>
      </w:r>
      <w:r w:rsidR="00206273" w:rsidRPr="00BE7371">
        <w:t>»</w:t>
      </w:r>
      <w:r w:rsidR="00D51B11">
        <w:t>,</w:t>
      </w:r>
      <w:r w:rsidRPr="00BE7371">
        <w:t xml:space="preserve"> de forma que:</w:t>
      </w:r>
    </w:p>
    <w:p w14:paraId="348FA2CA" w14:textId="77777777" w:rsidR="00CF0099" w:rsidRDefault="00CF0099" w:rsidP="00D51B11">
      <w:pPr>
        <w:jc w:val="both"/>
      </w:pPr>
      <w:r w:rsidRPr="00BE7371">
        <w:t xml:space="preserve">1. No </w:t>
      </w:r>
      <w:r w:rsidR="00A70385" w:rsidRPr="00BE7371">
        <w:t xml:space="preserve">se ha </w:t>
      </w:r>
      <w:r w:rsidRPr="00BE7371">
        <w:t>causa</w:t>
      </w:r>
      <w:r w:rsidR="00A70385" w:rsidRPr="00BE7371">
        <w:t>do</w:t>
      </w:r>
      <w:r w:rsidRPr="00BE7371">
        <w:t xml:space="preserve"> un perjuicio significativo a los seis objetivos medioambientales del artículo 17 del Reglamento (UE) 2020/852( ), qu</w:t>
      </w:r>
      <w:r>
        <w:t>e se enumeran a continuación:</w:t>
      </w:r>
    </w:p>
    <w:p w14:paraId="0564E1B3" w14:textId="77777777" w:rsidR="00CF0099" w:rsidRDefault="00CF0099" w:rsidP="00D51B11">
      <w:pPr>
        <w:jc w:val="both"/>
      </w:pPr>
      <w:r>
        <w:t>a)</w:t>
      </w:r>
      <w:r>
        <w:tab/>
        <w:t>Mitigación del cambio climático –se considera que una actividad causa un perjuicio significativo a la mitigación del cambio climático si da lugar a considerables emisiones de gases de efecto invernadero (GEI).</w:t>
      </w:r>
      <w:r w:rsidR="00D51B11">
        <w:t xml:space="preserve"> </w:t>
      </w:r>
      <w:r w:rsidR="00D51B11">
        <w:rPr>
          <w:iCs/>
        </w:rPr>
        <w:t>E</w:t>
      </w:r>
      <w:r w:rsidR="00D51B11" w:rsidRPr="000D1AA0">
        <w:rPr>
          <w:iCs/>
        </w:rPr>
        <w:t xml:space="preserve">n la rehabilitación de edificios </w:t>
      </w:r>
      <w:r w:rsidR="00D51B11" w:rsidRPr="000D1AA0">
        <w:rPr>
          <w:color w:val="000000"/>
        </w:rPr>
        <w:t xml:space="preserve">se tendrá </w:t>
      </w:r>
      <w:r w:rsidR="00D51B11" w:rsidRPr="000D1AA0">
        <w:rPr>
          <w:iCs/>
        </w:rPr>
        <w:t>en consideración las directrices recogidas en la Directiva (UE) 2018/844 relativa a la eficacia energética de los edificios de cara a que sean edificios de consumo de energía casi nulo, permitiendo reducir de forma significativa el consumo de energía primaria no renovable</w:t>
      </w:r>
    </w:p>
    <w:p w14:paraId="0A3339FE" w14:textId="77777777" w:rsidR="00CF0099" w:rsidRDefault="00CF0099" w:rsidP="00D51B11">
      <w:pPr>
        <w:jc w:val="both"/>
      </w:pPr>
      <w:r>
        <w:t>b)</w:t>
      </w:r>
      <w:r>
        <w:tab/>
        <w:t>Adaptación al cambio climático –se considera que una actividad causa un perjuicio significativo a la adaptación al cambio climático si provoca un aumento de los efectos adversos de las condiciones climáticas actuales y de las previstas en el futuro, sobre sí misma o en las personas, la naturaleza o los activos.</w:t>
      </w:r>
      <w:r w:rsidR="00D51B11">
        <w:t xml:space="preserve"> </w:t>
      </w:r>
      <w:r w:rsidR="00D51B11" w:rsidRPr="000D1AA0">
        <w:rPr>
          <w:iCs/>
        </w:rPr>
        <w:t xml:space="preserve">Las medidas de rehabilitación permitirán contribuir a la adaptación de los edificios al cambio climático, adoptando las soluciones de adaptación que sean posibles en el marco de las opciones que permita la edificación existente y su protección </w:t>
      </w:r>
      <w:r w:rsidR="00D51B11" w:rsidRPr="000D1AA0">
        <w:rPr>
          <w:iCs/>
        </w:rPr>
        <w:lastRenderedPageBreak/>
        <w:t xml:space="preserve">en caso de que sean edificios protegidos, como la utilización de cubiertas vegetales, toldos, zonas de sombreado, </w:t>
      </w:r>
      <w:r w:rsidR="00D51B11" w:rsidRPr="000D1AA0">
        <w:rPr>
          <w:color w:val="000000"/>
        </w:rPr>
        <w:t>etc.</w:t>
      </w:r>
    </w:p>
    <w:p w14:paraId="6A446DF5" w14:textId="77777777" w:rsidR="00CF0099" w:rsidRDefault="00CF0099" w:rsidP="00D51B11">
      <w:pPr>
        <w:jc w:val="both"/>
      </w:pPr>
      <w:r>
        <w:t>c)</w:t>
      </w:r>
      <w:r>
        <w:tab/>
        <w:t>Uso sostenible y protección de los recursos hídricos y marinos –se considera que una actividad causa un perjuicio significativo a la utilización y protección sostenibles de los recursos hídricos y marinos si va en detrimento del buen estado o del buen potencial ecológico de las masas de agua, incluidas las superficiales y subterráneas, y del buen estado ecológico de las aguas marinas.</w:t>
      </w:r>
      <w:r w:rsidR="00D51B11">
        <w:t xml:space="preserve"> </w:t>
      </w:r>
      <w:r w:rsidR="00D51B11" w:rsidRPr="000D1AA0">
        <w:rPr>
          <w:iCs/>
        </w:rPr>
        <w:t>Cuando se instalen aparatos de agua, estos tendrán una etiqueta de producto existente en la Unión. Para evitar el impacto de la obra, se identificarán y abordarán los riesgos de degradación ambiental relacionados con la preservación de la calidad del agua y la prevención del estrés hídrico, de acuerdo con un plan de gestión de uso y protección del agua.</w:t>
      </w:r>
    </w:p>
    <w:p w14:paraId="5E3B420B" w14:textId="77777777" w:rsidR="00CF0099" w:rsidRDefault="00CF0099" w:rsidP="00D51B11">
      <w:pPr>
        <w:jc w:val="both"/>
      </w:pPr>
      <w:r>
        <w:t>d)</w:t>
      </w:r>
      <w:r>
        <w:tab/>
        <w:t>Economía circular, incluidos la prevención y el reciclado de residuos –se considera que 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de residuos, el tratamiento mecánico-biológico, la incineración o el depósito en vertedero de residuos; o si la eliminación de residuos a largo plazo puede causar un perjuicio significativo y a largo plazo para el medio ambiente.</w:t>
      </w:r>
      <w:r w:rsidR="00D51B11">
        <w:t xml:space="preserve"> </w:t>
      </w:r>
      <w:r w:rsidR="00D51B11" w:rsidRPr="000D1AA0">
        <w:rPr>
          <w:iCs/>
        </w:rPr>
        <w:t>Al menos el 70% (en peso) de los residuos de construcción y demolición no peligrosos (excluido el material natural mencionado en la categoría 17 05 04 en la Lista europea de residuos establecida por la Decisión 2000/532 / EC) generados, en las actuaciones previstas en esta inversión, será preparado para su reutilización, reciclaje y recuperación de otros materiales, incluidas las operaciones de relleno utilizando residuos para sustituir otros materiales, de acuerdo con la jerarquía de residuos y el Protocolo de gestión de residuos de construcción y demolición de la UE. Los operadores limitarán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 Los diseños de los edificios y las técnicas de construcción apoyarán la circularidad en lo referido a la norma ISO 20887 para evaluar la capacidad de desmontaje o adaptabilidad de los edificios, cómo estos están diseñados para ser más eficientes en el uso de los recursos, adaptables, flexibles y desmontables para permitir la reutilización y el reciclaje.</w:t>
      </w:r>
    </w:p>
    <w:p w14:paraId="22618B5F" w14:textId="77777777" w:rsidR="00CF0099" w:rsidRDefault="00CF0099" w:rsidP="00D51B11">
      <w:pPr>
        <w:jc w:val="both"/>
      </w:pPr>
      <w:r>
        <w:t>e)</w:t>
      </w:r>
      <w:r>
        <w:tab/>
        <w:t>Prevención y control de la contaminación a la atmósfera, el agua o el suelo –se considera que una actividad causa un perjuicio significativo a la prevención y el control de la contaminación cuando da lugar a un aumento significativo de las emisiones de contaminantes a la atmósfera, el agua o el suelo.</w:t>
      </w:r>
      <w:r w:rsidR="00D51B11">
        <w:t xml:space="preserve"> </w:t>
      </w:r>
      <w:r w:rsidR="00D51B11" w:rsidRPr="000D1AA0">
        <w:rPr>
          <w:iCs/>
        </w:rPr>
        <w:t xml:space="preserve">De igual manera que ocurre con las emisiones GEI, no se espera que la medida dé lugar a un aumento significativo de las emisiones de contaminantes a la atmósfera, el agua o el suelo. El carácter general de las actuaciones orientadas a la sustitución de sistemas de calefacción y refrigeración basados en energías fósiles por otras tecnologías cero contaminantes, permitirá una significativa reducción de las emisiones al aire y por consiguiente </w:t>
      </w:r>
      <w:r w:rsidR="00D51B11" w:rsidRPr="000D1AA0">
        <w:rPr>
          <w:iCs/>
        </w:rPr>
        <w:lastRenderedPageBreak/>
        <w:t>una mejora en la salud pública. El carácter general de las actuaciones contempladas en cuanto a promover la rehabilitación de edificios incluyendo el concepto de eficiencia energética, hacen prever claramente una reducción de las emisiones de contaminantes atmosféricos principalmente asociada a la disminución del consumo energético. Los componentes y materiales de construcción utilizados en la construcción no contendrán amianto ni sustancias muy preocupantes identificadas sobre la base de la lista de sustancias sujetas a autorización que figura en el anexo XIV del Reglamento (CE) 1907/2006 del Parlamento Europeo y del Consejo. Los componentes y materiales de construcción utilizados en la construcción que puedan entrar en contacto con los usuarios emitirán menos de 0,06 mg de formaldehído por m³ de material o componente y menos de 0,001 mg de compuestos orgánicos volátiles cancerígenos de categorías 1A y 1B por m³ de material o componente, previa prueba de acuerdo con CEN / TS 16516 e ISO 16000-3 u otras condiciones de prueba estandarizadas y métodos de determinación comparables. Cuando la nueva construcción esté ubicada en un sitio potencialmente contaminado (sitio brownfield), el sitio será sujeto de una investigación de contaminantes potenciales, utilizando la norma ISO 18400. Además, se adoptarán medidas para reducir el ruido, el polvo y las emisiones contaminantes durante la fase de obra y se ejecutarán las actuaciones asociadas a esta medida siempre cumpliendo la normativa de aplicación vigente en cuanto la posible contaminación de suelos y agua.</w:t>
      </w:r>
    </w:p>
    <w:p w14:paraId="132C7A28" w14:textId="77777777" w:rsidR="00CF0099" w:rsidRDefault="00CF0099" w:rsidP="00D51B11">
      <w:pPr>
        <w:jc w:val="both"/>
      </w:pPr>
      <w:r>
        <w:t>f)</w:t>
      </w:r>
      <w:r>
        <w:tab/>
        <w:t>Protección y restauración de la biodiversidad y los ecosistemas –se considera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w:t>
      </w:r>
      <w:r w:rsidR="00D51B11">
        <w:t xml:space="preserve"> </w:t>
      </w:r>
      <w:r w:rsidR="00D51B11" w:rsidRPr="000D1AA0">
        <w:rPr>
          <w:iCs/>
        </w:rPr>
        <w:t>Las actuaciones no irán en detrimento de las buenas condiciones y la resiliencia de los ecosistemas y del estado de conservación de los hábitats y las especies. Cuando las actuaciones de rehabilitación tengan lugar en de áreas sensibles a la biodiversidad (incluida la red Natura 2000 de áreas protegidas, sitios del Patrimonio Mundial de la UNESCO y áreas clave para la biodiversidad, así como otras áreas protegidas) o en áreas próximas, se requerirá el cumplimiento de los artículos 6 (3) y 12 de la Directiva de hábitats y el artículo 5 de la Directiva de aves. Además, cuando sea preceptivo, se llevará a cabo una Evaluación de Impacto Ambiental (EIA) de acuerdo con la Directiva EIA.</w:t>
      </w:r>
    </w:p>
    <w:p w14:paraId="2C56FE50" w14:textId="77777777" w:rsidR="000D1AA0" w:rsidRDefault="00CF0099" w:rsidP="00D51B11">
      <w:pPr>
        <w:pBdr>
          <w:top w:val="nil"/>
          <w:left w:val="nil"/>
          <w:bottom w:val="nil"/>
          <w:right w:val="nil"/>
          <w:between w:val="nil"/>
        </w:pBdr>
        <w:spacing w:line="276" w:lineRule="auto"/>
        <w:ind w:right="4"/>
        <w:jc w:val="both"/>
        <w:rPr>
          <w:color w:val="000000"/>
        </w:rPr>
      </w:pPr>
      <w:r>
        <w:t>2. </w:t>
      </w:r>
      <w:r w:rsidR="000D1AA0" w:rsidRPr="000D1AA0">
        <w:rPr>
          <w:color w:val="000000"/>
        </w:rPr>
        <w:t xml:space="preserve"> </w:t>
      </w:r>
      <w:r w:rsidR="000D1AA0">
        <w:rPr>
          <w:color w:val="000000"/>
        </w:rPr>
        <w:t>A fin de garantizar que la medida se ajusta a la Guía técnica para la aplicación del principio de «no causar un perjuicio significativo» (DO C 58 de 18.2.2021, p. 1), los criterios de subvencionabilidad de las convocatorias han excluido las actividades que se enumeran a continuación:</w:t>
      </w:r>
    </w:p>
    <w:p w14:paraId="20671C3B" w14:textId="77777777" w:rsidR="000D1AA0" w:rsidRPr="000D1AA0" w:rsidRDefault="000D1AA0" w:rsidP="00D51B11">
      <w:pPr>
        <w:widowControl w:val="0"/>
        <w:numPr>
          <w:ilvl w:val="0"/>
          <w:numId w:val="1"/>
        </w:numPr>
        <w:pBdr>
          <w:top w:val="nil"/>
          <w:left w:val="nil"/>
          <w:bottom w:val="nil"/>
          <w:right w:val="nil"/>
          <w:between w:val="nil"/>
        </w:pBdr>
        <w:tabs>
          <w:tab w:val="left" w:pos="1930"/>
          <w:tab w:val="left" w:pos="1931"/>
        </w:tabs>
        <w:spacing w:after="0" w:line="276" w:lineRule="auto"/>
        <w:ind w:right="4"/>
        <w:jc w:val="both"/>
        <w:rPr>
          <w:color w:val="000000"/>
        </w:rPr>
      </w:pPr>
      <w:r w:rsidRPr="000D1AA0">
        <w:rPr>
          <w:color w:val="000000"/>
        </w:rPr>
        <w:t>las actividades relacionadas con los combustibles fósiles, incluida la utilización ulterior de los mismos</w:t>
      </w:r>
      <w:r w:rsidRPr="000D1AA0">
        <w:rPr>
          <w:color w:val="000000"/>
          <w:vertAlign w:val="superscript"/>
        </w:rPr>
        <w:footnoteReference w:id="1"/>
      </w:r>
      <w:r w:rsidRPr="000D1AA0">
        <w:rPr>
          <w:color w:val="000000"/>
        </w:rPr>
        <w:t>;</w:t>
      </w:r>
    </w:p>
    <w:p w14:paraId="2EB2BCC1" w14:textId="77777777" w:rsidR="000D1AA0" w:rsidRPr="000D1AA0" w:rsidRDefault="000D1AA0" w:rsidP="00D51B11">
      <w:pPr>
        <w:widowControl w:val="0"/>
        <w:numPr>
          <w:ilvl w:val="0"/>
          <w:numId w:val="1"/>
        </w:numPr>
        <w:pBdr>
          <w:top w:val="nil"/>
          <w:left w:val="nil"/>
          <w:bottom w:val="nil"/>
          <w:right w:val="nil"/>
          <w:between w:val="nil"/>
        </w:pBdr>
        <w:tabs>
          <w:tab w:val="left" w:pos="1930"/>
          <w:tab w:val="left" w:pos="1931"/>
        </w:tabs>
        <w:spacing w:after="0" w:line="276" w:lineRule="auto"/>
        <w:ind w:right="4"/>
        <w:jc w:val="both"/>
        <w:rPr>
          <w:color w:val="000000"/>
        </w:rPr>
      </w:pPr>
      <w:r w:rsidRPr="000D1AA0">
        <w:rPr>
          <w:color w:val="000000"/>
        </w:rPr>
        <w:lastRenderedPageBreak/>
        <w:t>las actividades en el marco del régimen de comercio de derechos de emisión de la UE (RCDE) en relación con las cuales se prevea que las emisiones de gases de efecto invernadero que van a provocar no se situarán por debajo de los parámetros de referencia pertinentes</w:t>
      </w:r>
      <w:r w:rsidRPr="000D1AA0">
        <w:rPr>
          <w:color w:val="000000"/>
          <w:vertAlign w:val="superscript"/>
        </w:rPr>
        <w:footnoteReference w:id="2"/>
      </w:r>
      <w:r w:rsidRPr="000D1AA0">
        <w:rPr>
          <w:color w:val="000000"/>
        </w:rPr>
        <w:t>;</w:t>
      </w:r>
    </w:p>
    <w:p w14:paraId="1A00103B" w14:textId="77777777" w:rsidR="000D1AA0" w:rsidRDefault="000D1AA0" w:rsidP="00D51B11">
      <w:pPr>
        <w:widowControl w:val="0"/>
        <w:numPr>
          <w:ilvl w:val="0"/>
          <w:numId w:val="1"/>
        </w:numPr>
        <w:pBdr>
          <w:top w:val="nil"/>
          <w:left w:val="nil"/>
          <w:bottom w:val="nil"/>
          <w:right w:val="nil"/>
          <w:between w:val="nil"/>
        </w:pBdr>
        <w:tabs>
          <w:tab w:val="left" w:pos="1930"/>
          <w:tab w:val="left" w:pos="1931"/>
        </w:tabs>
        <w:spacing w:after="0" w:line="276" w:lineRule="auto"/>
        <w:ind w:right="4"/>
        <w:jc w:val="both"/>
        <w:rPr>
          <w:color w:val="000000"/>
        </w:rPr>
      </w:pPr>
      <w:r w:rsidRPr="000D1AA0">
        <w:rPr>
          <w:color w:val="000000"/>
        </w:rPr>
        <w:t>las actividades relacionadas con vertederos de residuos, incineradoras</w:t>
      </w:r>
      <w:r w:rsidRPr="000D1AA0">
        <w:rPr>
          <w:color w:val="000000"/>
          <w:vertAlign w:val="superscript"/>
        </w:rPr>
        <w:footnoteReference w:id="3"/>
      </w:r>
      <w:r w:rsidRPr="000D1AA0">
        <w:rPr>
          <w:color w:val="000000"/>
        </w:rPr>
        <w:t xml:space="preserve"> y plantas de tratamiento mecánico-biológico</w:t>
      </w:r>
      <w:r w:rsidRPr="000D1AA0">
        <w:rPr>
          <w:color w:val="000000"/>
          <w:vertAlign w:val="superscript"/>
        </w:rPr>
        <w:footnoteReference w:id="4"/>
      </w:r>
      <w:r w:rsidRPr="000D1AA0">
        <w:rPr>
          <w:color w:val="000000"/>
        </w:rPr>
        <w:t>; y</w:t>
      </w:r>
    </w:p>
    <w:p w14:paraId="0F7B724A" w14:textId="77777777" w:rsidR="000D1AA0" w:rsidRDefault="000D1AA0" w:rsidP="00D51B11">
      <w:pPr>
        <w:widowControl w:val="0"/>
        <w:numPr>
          <w:ilvl w:val="0"/>
          <w:numId w:val="1"/>
        </w:numPr>
        <w:pBdr>
          <w:top w:val="nil"/>
          <w:left w:val="nil"/>
          <w:bottom w:val="nil"/>
          <w:right w:val="nil"/>
          <w:between w:val="nil"/>
        </w:pBdr>
        <w:tabs>
          <w:tab w:val="left" w:pos="1930"/>
          <w:tab w:val="left" w:pos="1931"/>
        </w:tabs>
        <w:spacing w:after="0" w:line="276" w:lineRule="auto"/>
        <w:ind w:right="4"/>
        <w:jc w:val="both"/>
        <w:rPr>
          <w:color w:val="000000"/>
        </w:rPr>
      </w:pPr>
      <w:r w:rsidRPr="000D1AA0">
        <w:rPr>
          <w:color w:val="000000"/>
        </w:rPr>
        <w:t>las actividades en las que la eliminación de residuos a largo plazo pueda causar un perjuicio al medio ambiente.</w:t>
      </w:r>
    </w:p>
    <w:p w14:paraId="0DDC45F8" w14:textId="77777777" w:rsidR="000D1AA0" w:rsidRDefault="000D1AA0" w:rsidP="00D51B11">
      <w:pPr>
        <w:widowControl w:val="0"/>
        <w:pBdr>
          <w:top w:val="nil"/>
          <w:left w:val="nil"/>
          <w:bottom w:val="nil"/>
          <w:right w:val="nil"/>
          <w:between w:val="nil"/>
        </w:pBdr>
        <w:tabs>
          <w:tab w:val="left" w:pos="1930"/>
          <w:tab w:val="left" w:pos="1931"/>
        </w:tabs>
        <w:spacing w:after="0" w:line="276" w:lineRule="auto"/>
        <w:ind w:right="4"/>
        <w:jc w:val="both"/>
        <w:rPr>
          <w:color w:val="000000"/>
        </w:rPr>
      </w:pPr>
    </w:p>
    <w:p w14:paraId="567500B3" w14:textId="77777777" w:rsidR="000D1AA0" w:rsidRDefault="000D1AA0" w:rsidP="00D51B11">
      <w:pPr>
        <w:widowControl w:val="0"/>
        <w:pBdr>
          <w:top w:val="nil"/>
          <w:left w:val="nil"/>
          <w:bottom w:val="nil"/>
          <w:right w:val="nil"/>
          <w:between w:val="nil"/>
        </w:pBdr>
        <w:tabs>
          <w:tab w:val="left" w:pos="1930"/>
          <w:tab w:val="left" w:pos="1931"/>
        </w:tabs>
        <w:spacing w:after="0" w:line="276" w:lineRule="auto"/>
        <w:ind w:right="4"/>
        <w:jc w:val="both"/>
        <w:rPr>
          <w:color w:val="000000"/>
        </w:rPr>
      </w:pPr>
      <w:r>
        <w:rPr>
          <w:color w:val="000000"/>
        </w:rPr>
        <w:t>Sólo han sido elegibles aquellas actividades que cumplen con la legislación medioambiental nacional y de la UE pertinente</w:t>
      </w:r>
    </w:p>
    <w:p w14:paraId="61A8C96A" w14:textId="77777777" w:rsidR="00014DCC" w:rsidRDefault="00014DCC" w:rsidP="00D51B11">
      <w:pPr>
        <w:jc w:val="both"/>
        <w:rPr>
          <w:color w:val="000000"/>
        </w:rPr>
      </w:pPr>
    </w:p>
    <w:p w14:paraId="2343C10D" w14:textId="77777777" w:rsidR="00D51B11" w:rsidRPr="00A70385" w:rsidRDefault="00D51B11" w:rsidP="00D51B11">
      <w:pPr>
        <w:jc w:val="both"/>
        <w:rPr>
          <w:b/>
          <w:strike/>
        </w:rPr>
      </w:pPr>
    </w:p>
    <w:p w14:paraId="7951C585" w14:textId="77777777" w:rsidR="00677185" w:rsidRDefault="00CF0099" w:rsidP="00D51B11">
      <w:pPr>
        <w:jc w:val="both"/>
      </w:pPr>
      <w:r>
        <w:t>Fecha y firma</w:t>
      </w:r>
    </w:p>
    <w:p w14:paraId="51136930" w14:textId="77777777" w:rsidR="000D1AA0" w:rsidRDefault="000D1AA0" w:rsidP="00D51B11">
      <w:pPr>
        <w:jc w:val="both"/>
      </w:pPr>
    </w:p>
    <w:sectPr w:rsidR="000D1AA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C4131" w14:textId="77777777" w:rsidR="0067257F" w:rsidRDefault="0067257F" w:rsidP="00EA7735">
      <w:pPr>
        <w:spacing w:after="0" w:line="240" w:lineRule="auto"/>
      </w:pPr>
      <w:r>
        <w:separator/>
      </w:r>
    </w:p>
  </w:endnote>
  <w:endnote w:type="continuationSeparator" w:id="0">
    <w:p w14:paraId="6DC2E008" w14:textId="77777777" w:rsidR="0067257F" w:rsidRDefault="0067257F" w:rsidP="00EA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Noto Sans HK">
    <w:panose1 w:val="020B0500000000000000"/>
    <w:charset w:val="80"/>
    <w:family w:val="swiss"/>
    <w:notTrueType/>
    <w:pitch w:val="variable"/>
    <w:sig w:usb0="20000287" w:usb1="2ADF3C10" w:usb2="00000016" w:usb3="00000000" w:csb0="00120107" w:csb1="00000000"/>
  </w:font>
  <w:font w:name="Source Sans Pro SemiBold">
    <w:panose1 w:val="020B06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7FBD2" w14:textId="77777777" w:rsidR="0067257F" w:rsidRDefault="0067257F" w:rsidP="00EA7735">
      <w:pPr>
        <w:spacing w:after="0" w:line="240" w:lineRule="auto"/>
      </w:pPr>
      <w:r>
        <w:separator/>
      </w:r>
    </w:p>
  </w:footnote>
  <w:footnote w:type="continuationSeparator" w:id="0">
    <w:p w14:paraId="6D2838EA" w14:textId="77777777" w:rsidR="0067257F" w:rsidRDefault="0067257F" w:rsidP="00EA7735">
      <w:pPr>
        <w:spacing w:after="0" w:line="240" w:lineRule="auto"/>
      </w:pPr>
      <w:r>
        <w:continuationSeparator/>
      </w:r>
    </w:p>
  </w:footnote>
  <w:footnote w:id="1">
    <w:p w14:paraId="6418E3F5" w14:textId="77777777" w:rsidR="000D1AA0" w:rsidRDefault="000D1AA0" w:rsidP="000D1AA0">
      <w:pPr>
        <w:spacing w:line="276" w:lineRule="auto"/>
        <w:ind w:right="4"/>
        <w:jc w:val="both"/>
        <w:rPr>
          <w:sz w:val="18"/>
          <w:szCs w:val="18"/>
        </w:rPr>
      </w:pPr>
      <w:r>
        <w:rPr>
          <w:vertAlign w:val="superscript"/>
        </w:rPr>
        <w:footnoteRef/>
      </w:r>
      <w:r>
        <w:rPr>
          <w:sz w:val="18"/>
          <w:szCs w:val="18"/>
        </w:rPr>
        <w:t xml:space="preserve"> Excepto los proyectos en el marco de esta medida relacionados con la generación de electricidad y/o calor utilizando gas natural, así como con la infraestructura de transporte y distribución conexa, que cumplan las condiciones establecidas en el anexo III de la Guía técnica sobre la aplicación del principio de «no causar un perjuicio significativo» (DO C 58 de 18.2.2021, p. 1).</w:t>
      </w:r>
    </w:p>
  </w:footnote>
  <w:footnote w:id="2">
    <w:p w14:paraId="29EE1BDA" w14:textId="77777777" w:rsidR="000D1AA0" w:rsidRDefault="000D1AA0" w:rsidP="000D1AA0">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Cuando se prevea que las emisiones de gases de efecto invernadero provocadas por la actividad subvencionada no van a ser significativamente inferiores a los parámetros de referencia pertinentes, deberá facilitarse una explicación motivada al respecto. Parámetros de referencia establecidos para la asignación gratuita de derechos de emisión en relación con las actividades que se inscriben en el ámbito de aplicación del régimen de comercio de derechos de emisión, según lo establecido en el Reglamento de Ejecución (UE) 2021/447 de la Comisión.  </w:t>
      </w:r>
    </w:p>
  </w:footnote>
  <w:footnote w:id="3">
    <w:p w14:paraId="2EAF389D" w14:textId="77777777" w:rsidR="000D1AA0" w:rsidRDefault="000D1AA0" w:rsidP="000D1AA0">
      <w:pPr>
        <w:pBdr>
          <w:top w:val="nil"/>
          <w:left w:val="nil"/>
          <w:bottom w:val="nil"/>
          <w:right w:val="nil"/>
          <w:between w:val="nil"/>
        </w:pBdr>
        <w:jc w:val="both"/>
        <w:rPr>
          <w:color w:val="000000"/>
          <w:sz w:val="20"/>
          <w:szCs w:val="20"/>
        </w:rPr>
      </w:pPr>
      <w:r>
        <w:rPr>
          <w:vertAlign w:val="superscript"/>
        </w:rPr>
        <w:footnoteRef/>
      </w:r>
      <w:r>
        <w:rPr>
          <w:color w:val="000000"/>
          <w:sz w:val="18"/>
          <w:szCs w:val="18"/>
        </w:rPr>
        <w:t xml:space="preserve"> Esta exclusión no se aplica a las acciones emprendidas en el marco de esta medida en plantas dedicadas exclusivamente al tratamiento de residuos peligrosos no reciclables, ni a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por cada planta.</w:t>
      </w:r>
      <w:r>
        <w:rPr>
          <w:color w:val="000000"/>
          <w:sz w:val="17"/>
          <w:szCs w:val="17"/>
        </w:rPr>
        <w:t xml:space="preserve"> </w:t>
      </w:r>
      <w:r>
        <w:rPr>
          <w:color w:val="000000"/>
          <w:sz w:val="20"/>
          <w:szCs w:val="20"/>
        </w:rPr>
        <w:t xml:space="preserve"> </w:t>
      </w:r>
    </w:p>
  </w:footnote>
  <w:footnote w:id="4">
    <w:p w14:paraId="131B9E47" w14:textId="77777777" w:rsidR="000D1AA0" w:rsidRDefault="000D1AA0" w:rsidP="000D1AA0">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Esta exclusión no se aplica a las acciones emprendidas en el marco de esta medida en las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por cada planta.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0808" w14:textId="77777777" w:rsidR="007B1A07" w:rsidRPr="007B1A07" w:rsidRDefault="00286AB4" w:rsidP="007B1A07">
    <w:pPr>
      <w:tabs>
        <w:tab w:val="center" w:pos="4252"/>
        <w:tab w:val="right" w:pos="8504"/>
      </w:tabs>
      <w:spacing w:after="0" w:line="240" w:lineRule="auto"/>
      <w:rPr>
        <w:rFonts w:ascii="Calibri" w:eastAsia="Calibri" w:hAnsi="Calibri" w:cs="Times New Roman"/>
      </w:rPr>
    </w:pPr>
    <w:r>
      <w:rPr>
        <w:rFonts w:ascii="Calibri" w:eastAsia="Calibri" w:hAnsi="Calibri" w:cs="Times New Roman"/>
        <w:noProof/>
        <w:lang w:eastAsia="es-ES"/>
      </w:rPr>
      <w:drawing>
        <wp:anchor distT="0" distB="0" distL="114300" distR="114300" simplePos="0" relativeHeight="251659264" behindDoc="0" locked="0" layoutInCell="1" allowOverlap="1" wp14:anchorId="4297406D" wp14:editId="3F8F61CD">
          <wp:simplePos x="0" y="0"/>
          <wp:positionH relativeFrom="column">
            <wp:posOffset>-786765</wp:posOffset>
          </wp:positionH>
          <wp:positionV relativeFrom="paragraph">
            <wp:posOffset>79375</wp:posOffset>
          </wp:positionV>
          <wp:extent cx="5097145" cy="727710"/>
          <wp:effectExtent l="0" t="0" r="8255" b="0"/>
          <wp:wrapSquare wrapText="bothSides"/>
          <wp:docPr id="2" name="Imagen 2" descr="C:\Users\miguel.cardador\AppData\Local\Microsoft\Windows\INetCache\Content.Word\7980_logos 1.ª pa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iguel.cardador\AppData\Local\Microsoft\Windows\INetCache\Content.Word\7980_logos 1.ª pag.-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7145" cy="727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D0109" w14:textId="77777777" w:rsidR="00AB3E8A" w:rsidRPr="00AB3E8A" w:rsidRDefault="00286AB4" w:rsidP="00AB3E8A">
    <w:pPr>
      <w:tabs>
        <w:tab w:val="left" w:pos="6450"/>
      </w:tabs>
      <w:spacing w:after="0" w:line="240" w:lineRule="auto"/>
      <w:ind w:left="-709"/>
      <w:rPr>
        <w:rFonts w:ascii="Calibri" w:eastAsia="Calibri" w:hAnsi="Calibri" w:cs="Times New Roman"/>
      </w:rPr>
    </w:pPr>
    <w:r>
      <w:rPr>
        <w:rFonts w:ascii="Calibri" w:eastAsia="Calibri" w:hAnsi="Calibri" w:cs="Times New Roman"/>
        <w:noProof/>
        <w:lang w:eastAsia="es-ES"/>
      </w:rPr>
      <mc:AlternateContent>
        <mc:Choice Requires="wps">
          <w:drawing>
            <wp:anchor distT="0" distB="360045" distL="114300" distR="114300" simplePos="0" relativeHeight="251658240" behindDoc="0" locked="0" layoutInCell="1" allowOverlap="1" wp14:anchorId="7AA7C4E5" wp14:editId="113973B7">
              <wp:simplePos x="0" y="0"/>
              <wp:positionH relativeFrom="column">
                <wp:posOffset>4308475</wp:posOffset>
              </wp:positionH>
              <wp:positionV relativeFrom="page">
                <wp:posOffset>641985</wp:posOffset>
              </wp:positionV>
              <wp:extent cx="2091690" cy="440055"/>
              <wp:effectExtent l="0" t="0" r="3810" b="0"/>
              <wp:wrapTopAndBottom/>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690" cy="440055"/>
                      </a:xfrm>
                      <a:prstGeom prst="rect">
                        <a:avLst/>
                      </a:prstGeom>
                      <a:noFill/>
                      <a:ln w="6350">
                        <a:noFill/>
                      </a:ln>
                    </wps:spPr>
                    <wps:txbx>
                      <w:txbxContent>
                        <w:p w14:paraId="31913D91" w14:textId="3B9EDF8D" w:rsidR="00286AB4" w:rsidRPr="00BE4528" w:rsidRDefault="00286AB4" w:rsidP="00330CB5">
                          <w:pPr>
                            <w:pStyle w:val="Cabecera-Consejera"/>
                          </w:pPr>
                          <w:r w:rsidRPr="00BE4528">
                            <w:t>Consejería de Cultura y Deporte</w:t>
                          </w:r>
                        </w:p>
                        <w:p w14:paraId="2BF39FFF" w14:textId="77777777" w:rsidR="00286AB4" w:rsidRPr="00450E66" w:rsidRDefault="00286AB4" w:rsidP="00330CB5">
                          <w:pPr>
                            <w:pStyle w:val="Cabecera-Centrodirectivo"/>
                          </w:pPr>
                          <w:r w:rsidRPr="00450E66">
                            <w:t>Agencia Andaluza de Instituciones Culturales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7C4E5" id="_x0000_t202" coordsize="21600,21600" o:spt="202" path="m,l,21600r21600,l21600,xe">
              <v:stroke joinstyle="miter"/>
              <v:path gradientshapeok="t" o:connecttype="rect"/>
            </v:shapetype>
            <v:shape id="Cuadro de texto 16" o:spid="_x0000_s1026" type="#_x0000_t202" style="position:absolute;left:0;text-align:left;margin-left:339.25pt;margin-top:50.55pt;width:164.7pt;height:34.65pt;z-index:251658240;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CdGQIAADcEAAAOAAAAZHJzL2Uyb0RvYy54bWysU11v0zAUfUfiP1h+p0nLWrGo6VQ2FSFV&#10;26QO7dl1nCbC8TXXbpPy67l2khYNnhAvznXu9znHy7uu0eyk0NVgcj6dpJwpI6GozSHn3142Hz5x&#10;5rwwhdBgVM7PyvG71ft3y9ZmagYV6EIhoyLGZa3NeeW9zZLEyUo1wk3AKkPOErARnq54SAoULVVv&#10;dDJL00XSAhYWQSrn6O9D7+SrWL8slfRPZemUZzrnNJuPJ8ZzH85ktRTZAYWtajmMIf5hikbUhppe&#10;Sj0IL9gR6z9KNbVEcFD6iYQmgbKspYo70DbT9M02u0pYFXchcJy9wOT+X1n5eNrZZ2S++wwdERiX&#10;cHYL8rsjbJLWumyICZi6zFF0WLQrsQlfWoFRImF7vuCpOs8k/Zylt9PFLbkk+W5u0nQ+D4An12yL&#10;zn9R0LBg5ByJrziBOG2d70PHkNDMwKbWOnKmDWtzvvg4T2PCxUPFtRkG72cNU/tu31FaMPdQnGlh&#10;hF4LzspNTc23wvlngUQ+zUuC9k90lBqoCQwWZxXgz7/9D/HECXk5a0lMOXc/jgIVZ/qrIbaC8kYD&#10;R2M/GubY3APpc0pPxcpoUgJ6PZolQvNKOl+HLuQSRlKvnEuP4+Xe96KmlyLVeh3DSGFW+K3ZWTky&#10;G8B86V4F2gFxT1w9wig0kb0Bvo/toV8fPZR1ZOWK44A0qTPyOrykIP/f7zHq+t5XvwAAAP//AwBQ&#10;SwMEFAAGAAgAAAAhAALFiGvhAAAADAEAAA8AAABkcnMvZG93bnJldi54bWxMj9FOwzAMRd+R+IfI&#10;SLyxpAjWUZpOCIkxkEBi4wOyxmu7Nk7VZF35e7wneLN1j66P8+XkOjHiEBpPGpKZAoFUettQpeF7&#10;+3KzABGiIWs6T6jhBwMsi8uL3GTWn+gLx02sBJdQyIyGOsY+kzKUNToTZr5H4mzvB2cir0Ml7WBO&#10;XO46eavUXDrTEF+oTY/PNZbt5ug0rJp9sv0c26qv27fX1fv647A+RK2vr6anRxARp/gHw1mf1aFg&#10;p50/kg2i0zBPF/eMcqCSBMSZUCp9ALHjKVV3IItc/n+i+AUAAP//AwBQSwECLQAUAAYACAAAACEA&#10;toM4kv4AAADhAQAAEwAAAAAAAAAAAAAAAAAAAAAAW0NvbnRlbnRfVHlwZXNdLnhtbFBLAQItABQA&#10;BgAIAAAAIQA4/SH/1gAAAJQBAAALAAAAAAAAAAAAAAAAAC8BAABfcmVscy8ucmVsc1BLAQItABQA&#10;BgAIAAAAIQCqBGCdGQIAADcEAAAOAAAAAAAAAAAAAAAAAC4CAABkcnMvZTJvRG9jLnhtbFBLAQIt&#10;ABQABgAIAAAAIQACxYhr4QAAAAwBAAAPAAAAAAAAAAAAAAAAAHMEAABkcnMvZG93bnJldi54bWxQ&#10;SwUGAAAAAAQABADzAAAAgQUAAAAA&#10;" filled="f" stroked="f" strokeweight=".5pt">
              <v:textbox inset="0,0,0,0">
                <w:txbxContent>
                  <w:p w14:paraId="31913D91" w14:textId="3B9EDF8D" w:rsidR="00286AB4" w:rsidRPr="00BE4528" w:rsidRDefault="00286AB4" w:rsidP="00330CB5">
                    <w:pPr>
                      <w:pStyle w:val="Cabecera-Consejera"/>
                    </w:pPr>
                    <w:r w:rsidRPr="00BE4528">
                      <w:t>Consejería de Cultura y Deporte</w:t>
                    </w:r>
                  </w:p>
                  <w:p w14:paraId="2BF39FFF" w14:textId="77777777" w:rsidR="00286AB4" w:rsidRPr="00450E66" w:rsidRDefault="00286AB4" w:rsidP="00330CB5">
                    <w:pPr>
                      <w:pStyle w:val="Cabecera-Centrodirectivo"/>
                    </w:pPr>
                    <w:r w:rsidRPr="00450E66">
                      <w:t>Agencia Andaluza de Instituciones Culturales</w:t>
                    </w:r>
                  </w:p>
                </w:txbxContent>
              </v:textbox>
              <w10:wrap type="topAndBottom" anchory="page"/>
            </v:shape>
          </w:pict>
        </mc:Fallback>
      </mc:AlternateContent>
    </w:r>
  </w:p>
  <w:p w14:paraId="676D7FEC" w14:textId="77777777" w:rsidR="000F259C" w:rsidRPr="00946E93" w:rsidRDefault="000F259C" w:rsidP="00946E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7D07"/>
    <w:multiLevelType w:val="hybridMultilevel"/>
    <w:tmpl w:val="3D622206"/>
    <w:lvl w:ilvl="0" w:tplc="78F27C5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03638FD"/>
    <w:multiLevelType w:val="multilevel"/>
    <w:tmpl w:val="FF60B1D6"/>
    <w:lvl w:ilvl="0">
      <w:start w:val="1"/>
      <w:numFmt w:val="lowerRoman"/>
      <w:lvlText w:val="%1)"/>
      <w:lvlJc w:val="left"/>
      <w:pPr>
        <w:ind w:left="720" w:hanging="360"/>
      </w:pPr>
      <w:rPr>
        <w:rFonts w:ascii="Calibri" w:eastAsia="Calibri" w:hAnsi="Calibri" w:cs="Calibri"/>
        <w:sz w:val="19"/>
        <w:szCs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50597B"/>
    <w:multiLevelType w:val="hybridMultilevel"/>
    <w:tmpl w:val="3B4C481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30543544">
    <w:abstractNumId w:val="1"/>
  </w:num>
  <w:num w:numId="2" w16cid:durableId="1657103640">
    <w:abstractNumId w:val="0"/>
  </w:num>
  <w:num w:numId="3" w16cid:durableId="824976897">
    <w:abstractNumId w:val="0"/>
  </w:num>
  <w:num w:numId="4" w16cid:durableId="1553806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99"/>
    <w:rsid w:val="00014DCC"/>
    <w:rsid w:val="00026CF7"/>
    <w:rsid w:val="00087F04"/>
    <w:rsid w:val="000D1AA0"/>
    <w:rsid w:val="000F259C"/>
    <w:rsid w:val="00131862"/>
    <w:rsid w:val="001666DC"/>
    <w:rsid w:val="00206273"/>
    <w:rsid w:val="00234494"/>
    <w:rsid w:val="00286AB4"/>
    <w:rsid w:val="00502A56"/>
    <w:rsid w:val="00564AD0"/>
    <w:rsid w:val="005D5B5B"/>
    <w:rsid w:val="005E663D"/>
    <w:rsid w:val="00614EC7"/>
    <w:rsid w:val="0063423A"/>
    <w:rsid w:val="0067257F"/>
    <w:rsid w:val="00677185"/>
    <w:rsid w:val="00707217"/>
    <w:rsid w:val="00726DDB"/>
    <w:rsid w:val="00791AF1"/>
    <w:rsid w:val="007B1A07"/>
    <w:rsid w:val="007F3EBF"/>
    <w:rsid w:val="00827DE5"/>
    <w:rsid w:val="008A31B9"/>
    <w:rsid w:val="008E4B32"/>
    <w:rsid w:val="00946E93"/>
    <w:rsid w:val="009C6E8C"/>
    <w:rsid w:val="009C7FC8"/>
    <w:rsid w:val="00A70385"/>
    <w:rsid w:val="00AB3E8A"/>
    <w:rsid w:val="00B46092"/>
    <w:rsid w:val="00B728B9"/>
    <w:rsid w:val="00BE4379"/>
    <w:rsid w:val="00BE7371"/>
    <w:rsid w:val="00C0646F"/>
    <w:rsid w:val="00C435FB"/>
    <w:rsid w:val="00CF0099"/>
    <w:rsid w:val="00D51B11"/>
    <w:rsid w:val="00D57467"/>
    <w:rsid w:val="00D60D57"/>
    <w:rsid w:val="00DC4C97"/>
    <w:rsid w:val="00DF36CA"/>
    <w:rsid w:val="00E04CDD"/>
    <w:rsid w:val="00E20568"/>
    <w:rsid w:val="00EA7735"/>
    <w:rsid w:val="00F810A5"/>
    <w:rsid w:val="00FD4AD4"/>
    <w:rsid w:val="00FF04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6AC15"/>
  <w15:docId w15:val="{66998ED4-2316-4D7E-960B-F722BD6C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A7735"/>
    <w:pPr>
      <w:tabs>
        <w:tab w:val="center" w:pos="4252"/>
        <w:tab w:val="right" w:pos="8504"/>
      </w:tabs>
      <w:spacing w:after="0" w:line="240" w:lineRule="auto"/>
    </w:pPr>
  </w:style>
  <w:style w:type="character" w:customStyle="1" w:styleId="EncabezadoCar">
    <w:name w:val="Encabezado Car"/>
    <w:basedOn w:val="Fuentedeprrafopredeter"/>
    <w:link w:val="Encabezado"/>
    <w:rsid w:val="00EA7735"/>
  </w:style>
  <w:style w:type="paragraph" w:styleId="Piedepgina">
    <w:name w:val="footer"/>
    <w:basedOn w:val="Normal"/>
    <w:link w:val="PiedepginaCar"/>
    <w:uiPriority w:val="99"/>
    <w:unhideWhenUsed/>
    <w:rsid w:val="00EA77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7735"/>
  </w:style>
  <w:style w:type="table" w:styleId="Tablaconcuadrcula">
    <w:name w:val="Table Grid"/>
    <w:basedOn w:val="Tablanormal"/>
    <w:uiPriority w:val="59"/>
    <w:rsid w:val="000F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703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385"/>
    <w:rPr>
      <w:rFonts w:ascii="Segoe UI" w:hAnsi="Segoe UI" w:cs="Segoe UI"/>
      <w:sz w:val="18"/>
      <w:szCs w:val="18"/>
    </w:rPr>
  </w:style>
  <w:style w:type="paragraph" w:styleId="Prrafodelista">
    <w:name w:val="List Paragraph"/>
    <w:basedOn w:val="Normal"/>
    <w:uiPriority w:val="34"/>
    <w:qFormat/>
    <w:rsid w:val="000D1AA0"/>
    <w:pPr>
      <w:spacing w:line="252" w:lineRule="auto"/>
      <w:ind w:left="720"/>
      <w:contextualSpacing/>
    </w:pPr>
    <w:rPr>
      <w:rFonts w:ascii="Calibri" w:hAnsi="Calibri" w:cs="Calibri"/>
    </w:rPr>
  </w:style>
  <w:style w:type="paragraph" w:customStyle="1" w:styleId="Cabecera-Centrodirectivo">
    <w:name w:val="Cabecera - Centro directivo"/>
    <w:autoRedefine/>
    <w:qFormat/>
    <w:rsid w:val="00286AB4"/>
    <w:pPr>
      <w:spacing w:before="40" w:after="0" w:line="240" w:lineRule="auto"/>
    </w:pPr>
    <w:rPr>
      <w:rFonts w:ascii="Source Sans Pro" w:eastAsia="Noto Sans HK" w:hAnsi="Source Sans Pro" w:cs="Times New Roman"/>
      <w:sz w:val="16"/>
      <w:szCs w:val="16"/>
    </w:rPr>
  </w:style>
  <w:style w:type="paragraph" w:customStyle="1" w:styleId="Cabecera-Consejera">
    <w:name w:val="Cabecera - Consejería"/>
    <w:next w:val="Cabecera-Centrodirectivo"/>
    <w:autoRedefine/>
    <w:qFormat/>
    <w:rsid w:val="00286AB4"/>
    <w:pPr>
      <w:spacing w:after="0" w:line="240" w:lineRule="auto"/>
    </w:pPr>
    <w:rPr>
      <w:rFonts w:ascii="Source Sans Pro SemiBold" w:eastAsia="Noto Sans HK" w:hAnsi="Source Sans Pro SemiBold" w:cs="Times New Roman"/>
      <w:sz w:val="1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439291">
      <w:bodyDiv w:val="1"/>
      <w:marLeft w:val="0"/>
      <w:marRight w:val="0"/>
      <w:marTop w:val="0"/>
      <w:marBottom w:val="0"/>
      <w:divBdr>
        <w:top w:val="none" w:sz="0" w:space="0" w:color="auto"/>
        <w:left w:val="none" w:sz="0" w:space="0" w:color="auto"/>
        <w:bottom w:val="none" w:sz="0" w:space="0" w:color="auto"/>
        <w:right w:val="none" w:sz="0" w:space="0" w:color="auto"/>
      </w:divBdr>
    </w:div>
    <w:div w:id="17711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1489</Words>
  <Characters>8193</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Herrero Molina, Arantxa</dc:creator>
  <cp:lastModifiedBy>Montserrat Sánchez Conde</cp:lastModifiedBy>
  <cp:revision>2</cp:revision>
  <cp:lastPrinted>2023-10-25T07:10:00Z</cp:lastPrinted>
  <dcterms:created xsi:type="dcterms:W3CDTF">2024-09-27T10:37:00Z</dcterms:created>
  <dcterms:modified xsi:type="dcterms:W3CDTF">2024-09-27T10:37:00Z</dcterms:modified>
</cp:coreProperties>
</file>