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6"/>
      </w:tblGrid>
      <w:tr w:rsidR="00000000" w14:paraId="6AAC204E" w14:textId="77777777" w:rsidTr="00376809">
        <w:tc>
          <w:tcPr>
            <w:tcW w:w="9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15EC23" w14:textId="77777777" w:rsidR="00000000" w:rsidRDefault="00000000">
            <w:pPr>
              <w:pStyle w:val="Textoindependiente"/>
            </w:pPr>
            <w:r>
              <w:rPr>
                <w:rFonts w:ascii="NewsGotT" w:hAnsi="NewsGotT" w:cs="NewsGotT"/>
              </w:rPr>
              <w:t>FUNDACIÓN............................................................</w:t>
            </w:r>
          </w:p>
          <w:p w14:paraId="3110C040" w14:textId="77777777" w:rsidR="00000000" w:rsidRDefault="00000000">
            <w:pPr>
              <w:pStyle w:val="Textoindependiente"/>
            </w:pPr>
            <w:proofErr w:type="spellStart"/>
            <w:r>
              <w:rPr>
                <w:rFonts w:ascii="NewsGotT" w:hAnsi="NewsGotT" w:cs="NewsGotT"/>
              </w:rPr>
              <w:t>Nº</w:t>
            </w:r>
            <w:proofErr w:type="spellEnd"/>
            <w:r>
              <w:rPr>
                <w:rFonts w:ascii="NewsGotT" w:hAnsi="NewsGotT" w:cs="NewsGotT"/>
              </w:rPr>
              <w:t xml:space="preserve"> DE REGISTRO.....................................................</w:t>
            </w:r>
          </w:p>
        </w:tc>
      </w:tr>
    </w:tbl>
    <w:p w14:paraId="215160E5" w14:textId="77777777" w:rsidR="00000000" w:rsidRDefault="00000000">
      <w:pPr>
        <w:pStyle w:val="Ttulo1"/>
        <w:jc w:val="center"/>
        <w:rPr>
          <w:rFonts w:ascii="NewsGotT" w:hAnsi="NewsGotT" w:cs="NewsGotT"/>
          <w:sz w:val="24"/>
          <w:szCs w:val="24"/>
        </w:rPr>
      </w:pPr>
    </w:p>
    <w:p w14:paraId="49FEFE98" w14:textId="24CF9B05" w:rsidR="00000000" w:rsidRDefault="00000000">
      <w:pPr>
        <w:pStyle w:val="Ttulo1"/>
        <w:jc w:val="center"/>
      </w:pPr>
      <w:r>
        <w:rPr>
          <w:rFonts w:ascii="NewsGotT" w:hAnsi="NewsGotT" w:cs="NewsGotT"/>
          <w:sz w:val="24"/>
          <w:szCs w:val="24"/>
        </w:rPr>
        <w:t>GUÍA PARA EL CÁLCULO DE LA APLICACIÓN DE RENTAS E INGRESOS AL CUMPLIMIENTO DE FINES</w:t>
      </w:r>
    </w:p>
    <w:p w14:paraId="41FF9767" w14:textId="77777777" w:rsidR="00376809" w:rsidRDefault="00376809" w:rsidP="00376809">
      <w:pPr>
        <w:pStyle w:val="Ttulo3"/>
      </w:pPr>
      <w:bookmarkStart w:id="0" w:name="_Toc195869363"/>
      <w:r>
        <w:t>NORMATIVA APLICABLE</w:t>
      </w:r>
      <w:bookmarkEnd w:id="0"/>
    </w:p>
    <w:p w14:paraId="056023F6" w14:textId="77777777" w:rsidR="00376809" w:rsidRDefault="00376809" w:rsidP="00376809">
      <w:pPr>
        <w:numPr>
          <w:ilvl w:val="0"/>
          <w:numId w:val="2"/>
        </w:numPr>
        <w:autoSpaceDN w:val="0"/>
        <w:jc w:val="both"/>
      </w:pPr>
      <w:r>
        <w:rPr>
          <w:rFonts w:cs="Tahoma"/>
        </w:rPr>
        <w:t>El artículo 38.1 de la Ley 10/2205, de 31 de mayo, de Fundaciones de la Comunidad Autónoma de Andalucía.</w:t>
      </w:r>
    </w:p>
    <w:p w14:paraId="54504A2A" w14:textId="77777777" w:rsidR="00376809" w:rsidRDefault="00376809" w:rsidP="00376809">
      <w:pPr>
        <w:numPr>
          <w:ilvl w:val="0"/>
          <w:numId w:val="2"/>
        </w:numPr>
        <w:autoSpaceDN w:val="0"/>
        <w:jc w:val="both"/>
      </w:pPr>
      <w:r>
        <w:rPr>
          <w:rFonts w:cs="Tahoma"/>
        </w:rPr>
        <w:t>Desarrollando el anterior, el artículo 33 del Decreto 32/2008, de 5 de febrero, por el que se aprueba el reglamento de Fundaciones de la Comunidad Autónoma de Andalucía establece la forma y procedimiento para el cálculo.</w:t>
      </w:r>
    </w:p>
    <w:p w14:paraId="273A1722" w14:textId="77777777" w:rsidR="00376809" w:rsidRDefault="00376809" w:rsidP="00376809">
      <w:pPr>
        <w:pStyle w:val="Ttulo3"/>
      </w:pPr>
      <w:bookmarkStart w:id="1" w:name="_Toc195869364"/>
      <w:r>
        <w:t>PROCEDIMIENTO</w:t>
      </w:r>
      <w:bookmarkEnd w:id="1"/>
    </w:p>
    <w:p w14:paraId="7A964013" w14:textId="77777777" w:rsidR="00376809" w:rsidRDefault="00376809" w:rsidP="00376809">
      <w:r>
        <w:rPr>
          <w:rFonts w:cs="Tahoma"/>
        </w:rPr>
        <w:t xml:space="preserve">Para calcular el montante de recursos sobre los que ha de aplicarse el porcentaje mínimo legal del </w:t>
      </w:r>
      <w:r>
        <w:rPr>
          <w:rFonts w:cs="Tahoma"/>
          <w:b/>
        </w:rPr>
        <w:t>70%</w:t>
      </w:r>
      <w:r>
        <w:rPr>
          <w:rFonts w:cs="Tahoma"/>
        </w:rPr>
        <w:t>:</w:t>
      </w:r>
    </w:p>
    <w:p w14:paraId="7125191A" w14:textId="77777777" w:rsidR="00376809" w:rsidRDefault="00376809" w:rsidP="00376809">
      <w:pPr>
        <w:numPr>
          <w:ilvl w:val="0"/>
          <w:numId w:val="3"/>
        </w:numPr>
        <w:autoSpaceDN w:val="0"/>
        <w:jc w:val="both"/>
      </w:pPr>
      <w:r>
        <w:rPr>
          <w:rFonts w:cs="Tahoma"/>
        </w:rPr>
        <w:t xml:space="preserve">Se parte del resultado contable del ejercicio, corregido tanto </w:t>
      </w:r>
    </w:p>
    <w:p w14:paraId="3740F28E" w14:textId="77777777" w:rsidR="00376809" w:rsidRDefault="00376809" w:rsidP="00376809">
      <w:pPr>
        <w:numPr>
          <w:ilvl w:val="1"/>
          <w:numId w:val="3"/>
        </w:numPr>
        <w:autoSpaceDN w:val="0"/>
        <w:jc w:val="both"/>
      </w:pPr>
      <w:r>
        <w:rPr>
          <w:rFonts w:cs="Tahoma"/>
          <w:i/>
        </w:rPr>
        <w:t xml:space="preserve">con </w:t>
      </w:r>
      <w:r>
        <w:rPr>
          <w:rFonts w:cs="Tahoma"/>
          <w:b/>
          <w:i/>
        </w:rPr>
        <w:t>ajustes positivos</w:t>
      </w:r>
      <w:r>
        <w:rPr>
          <w:rFonts w:cs="Tahoma"/>
        </w:rPr>
        <w:t xml:space="preserve"> derivados de determinados </w:t>
      </w:r>
      <w:r>
        <w:rPr>
          <w:rFonts w:cs="Tahoma"/>
          <w:b/>
        </w:rPr>
        <w:t>GASTOS</w:t>
      </w:r>
      <w:r>
        <w:rPr>
          <w:rFonts w:cs="Tahoma"/>
        </w:rPr>
        <w:t xml:space="preserve"> que tienen la consideración de </w:t>
      </w:r>
      <w:r>
        <w:rPr>
          <w:rFonts w:cs="Tahoma"/>
          <w:b/>
          <w:u w:val="single"/>
        </w:rPr>
        <w:t>no deducibles</w:t>
      </w:r>
      <w:r>
        <w:rPr>
          <w:rFonts w:cs="Tahoma"/>
        </w:rPr>
        <w:t xml:space="preserve"> a estos efectos, </w:t>
      </w:r>
    </w:p>
    <w:p w14:paraId="51A61205" w14:textId="77777777" w:rsidR="00376809" w:rsidRDefault="00376809" w:rsidP="00376809">
      <w:pPr>
        <w:numPr>
          <w:ilvl w:val="1"/>
          <w:numId w:val="3"/>
        </w:numPr>
        <w:autoSpaceDN w:val="0"/>
        <w:jc w:val="both"/>
      </w:pPr>
      <w:r>
        <w:rPr>
          <w:rFonts w:cs="Tahoma"/>
        </w:rPr>
        <w:t xml:space="preserve">y </w:t>
      </w:r>
      <w:r>
        <w:rPr>
          <w:rFonts w:cs="Tahoma"/>
          <w:b/>
          <w:i/>
        </w:rPr>
        <w:t>ajustes negativos</w:t>
      </w:r>
      <w:r>
        <w:rPr>
          <w:rFonts w:cs="Tahoma"/>
          <w:b/>
        </w:rPr>
        <w:t xml:space="preserve"> </w:t>
      </w:r>
      <w:r>
        <w:rPr>
          <w:rFonts w:cs="Tahoma"/>
        </w:rPr>
        <w:t>derivados</w:t>
      </w:r>
      <w:r>
        <w:rPr>
          <w:rFonts w:cs="Tahoma"/>
          <w:b/>
        </w:rPr>
        <w:t xml:space="preserve"> </w:t>
      </w:r>
      <w:r>
        <w:rPr>
          <w:rFonts w:cs="Tahoma"/>
        </w:rPr>
        <w:t>de</w:t>
      </w:r>
      <w:r>
        <w:rPr>
          <w:rFonts w:cs="Tahoma"/>
          <w:b/>
        </w:rPr>
        <w:t xml:space="preserve"> </w:t>
      </w:r>
      <w:r>
        <w:rPr>
          <w:rFonts w:cs="Tahoma"/>
        </w:rPr>
        <w:t xml:space="preserve">determinados </w:t>
      </w:r>
      <w:r>
        <w:rPr>
          <w:rFonts w:cs="Tahoma"/>
          <w:b/>
        </w:rPr>
        <w:t>INGRESOS</w:t>
      </w:r>
      <w:r>
        <w:rPr>
          <w:rFonts w:cs="Tahoma"/>
        </w:rPr>
        <w:t xml:space="preserve"> que tienen la consideración de </w:t>
      </w:r>
      <w:r>
        <w:rPr>
          <w:rFonts w:cs="Tahoma"/>
          <w:b/>
          <w:u w:val="single"/>
        </w:rPr>
        <w:t>no computables</w:t>
      </w:r>
      <w:r>
        <w:rPr>
          <w:rFonts w:cs="Tahoma"/>
          <w:b/>
        </w:rPr>
        <w:t>.</w:t>
      </w:r>
    </w:p>
    <w:p w14:paraId="6B0E1AE3" w14:textId="77777777" w:rsidR="00376809" w:rsidRDefault="00376809" w:rsidP="00376809">
      <w:pPr>
        <w:numPr>
          <w:ilvl w:val="0"/>
          <w:numId w:val="3"/>
        </w:numPr>
        <w:autoSpaceDN w:val="0"/>
        <w:jc w:val="both"/>
      </w:pPr>
      <w:r>
        <w:rPr>
          <w:rFonts w:cs="Tahoma"/>
        </w:rPr>
        <w:t xml:space="preserve">El </w:t>
      </w:r>
      <w:r>
        <w:rPr>
          <w:rFonts w:cs="Tahoma"/>
          <w:b/>
        </w:rPr>
        <w:t>30%</w:t>
      </w:r>
      <w:r>
        <w:rPr>
          <w:rFonts w:cs="Tahoma"/>
        </w:rPr>
        <w:t xml:space="preserve"> restante, no destinado a la realización de los fines fundacionales, deberá destinarse a incrementar la dotación, a la reserva o a reducir el resultado negativo de ejercicios anteriores según acuerdo del Patronato.</w:t>
      </w:r>
    </w:p>
    <w:p w14:paraId="172A64D6" w14:textId="77777777" w:rsidR="00376809" w:rsidRDefault="00376809" w:rsidP="00376809">
      <w:r>
        <w:rPr>
          <w:rFonts w:cs="Tahoma"/>
        </w:rPr>
        <w:t xml:space="preserve">El destino de las rentas e ingresos, a la realización de los fines fundacionales, deberá hacerse efectivo en el plazo comprendido entre el inicio del ejercicio en que se haya obtenido dicho resultado y los </w:t>
      </w:r>
      <w:r>
        <w:rPr>
          <w:rFonts w:cs="Tahoma"/>
          <w:b/>
        </w:rPr>
        <w:t>tres</w:t>
      </w:r>
      <w:r>
        <w:rPr>
          <w:rFonts w:cs="Tahoma"/>
        </w:rPr>
        <w:t xml:space="preserve"> años siguientes a su cierre.</w:t>
      </w:r>
    </w:p>
    <w:p w14:paraId="506B2EA6" w14:textId="77777777" w:rsidR="00376809" w:rsidRDefault="00376809" w:rsidP="00376809">
      <w:pPr>
        <w:rPr>
          <w:rFonts w:cs="Tahoma"/>
        </w:rPr>
      </w:pPr>
      <w:r>
        <w:rPr>
          <w:rFonts w:cs="Tahoma"/>
        </w:rPr>
        <w:t>En la Memoria integrada en las Cuentas Anuales que deberá presentar la Fundación se incluirá información detallada del cumplimiento de esta obligación.</w:t>
      </w:r>
    </w:p>
    <w:p w14:paraId="525C48D7" w14:textId="77777777" w:rsidR="00000000" w:rsidRDefault="00000000">
      <w:pPr>
        <w:rPr>
          <w:rFonts w:ascii="NewsGotT" w:hAnsi="NewsGotT" w:cs="NewsGotT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4"/>
      </w:tblGrid>
      <w:tr w:rsidR="00000000" w14:paraId="2F7C0189" w14:textId="77777777"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33F31" w14:textId="77777777" w:rsidR="00000000" w:rsidRDefault="00000000">
            <w:pPr>
              <w:pStyle w:val="Ttulo2"/>
              <w:jc w:val="center"/>
            </w:pPr>
            <w:proofErr w:type="gramStart"/>
            <w:r>
              <w:rPr>
                <w:rFonts w:ascii="NewsGotT" w:hAnsi="NewsGotT" w:cs="NewsGotT"/>
                <w:b/>
                <w:sz w:val="20"/>
              </w:rPr>
              <w:t>CUANTÍA A DESTINAR</w:t>
            </w:r>
            <w:proofErr w:type="gramEnd"/>
          </w:p>
        </w:tc>
      </w:tr>
    </w:tbl>
    <w:p w14:paraId="4353AA3A" w14:textId="77777777" w:rsidR="00000000" w:rsidRDefault="00000000">
      <w:pPr>
        <w:rPr>
          <w:rFonts w:ascii="NewsGotT" w:hAnsi="NewsGotT" w:cs="NewsGotT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346"/>
      </w:tblGrid>
      <w:tr w:rsidR="00000000" w14:paraId="7D389D91" w14:textId="7777777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BB65B84" w14:textId="77777777" w:rsidR="00000000" w:rsidRDefault="00000000">
            <w:r>
              <w:rPr>
                <w:rFonts w:ascii="NewsGotT" w:hAnsi="NewsGotT" w:cs="NewsGotT"/>
                <w:b/>
              </w:rPr>
              <w:t>CONCEPTO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1DE1DF1A" w14:textId="77777777" w:rsidR="00000000" w:rsidRDefault="00000000">
            <w:pPr>
              <w:pStyle w:val="Ttulo1"/>
            </w:pPr>
            <w:r>
              <w:rPr>
                <w:rFonts w:ascii="NewsGotT" w:hAnsi="NewsGotT" w:cs="NewsGotT"/>
              </w:rPr>
              <w:t>CUANTÍA</w:t>
            </w:r>
          </w:p>
        </w:tc>
      </w:tr>
      <w:tr w:rsidR="00000000" w14:paraId="1D7756AA" w14:textId="77777777">
        <w:trPr>
          <w:trHeight w:val="150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1BB91" w14:textId="77777777" w:rsidR="00000000" w:rsidRDefault="00000000">
            <w:pPr>
              <w:snapToGrid w:val="0"/>
              <w:rPr>
                <w:rFonts w:ascii="NewsGotT" w:hAnsi="NewsGotT" w:cs="NewsGotT"/>
              </w:rPr>
            </w:pPr>
          </w:p>
          <w:p w14:paraId="5D854EC4" w14:textId="77777777" w:rsidR="00000000" w:rsidRDefault="00000000">
            <w:pPr>
              <w:pStyle w:val="Ttulo1"/>
            </w:pPr>
            <w:r>
              <w:rPr>
                <w:rFonts w:ascii="NewsGotT" w:hAnsi="NewsGotT" w:cs="NewsGotT"/>
              </w:rPr>
              <w:t xml:space="preserve">Resultado Contable </w:t>
            </w:r>
            <w:r>
              <w:rPr>
                <w:rFonts w:ascii="NewsGotT" w:hAnsi="NewsGotT" w:cs="NewsGotT"/>
                <w:color w:val="FF0000"/>
                <w:sz w:val="16"/>
              </w:rPr>
              <w:t>1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8BAC" w14:textId="77777777" w:rsidR="00000000" w:rsidRDefault="00000000">
            <w:pPr>
              <w:snapToGrid w:val="0"/>
              <w:rPr>
                <w:rFonts w:ascii="NewsGotT" w:hAnsi="NewsGotT" w:cs="NewsGotT"/>
              </w:rPr>
            </w:pPr>
          </w:p>
          <w:p w14:paraId="479A1E59" w14:textId="77777777" w:rsidR="00000000" w:rsidRDefault="00000000">
            <w:r>
              <w:rPr>
                <w:rFonts w:ascii="NewsGotT" w:eastAsia="NewsGotT" w:hAnsi="NewsGotT" w:cs="NewsGotT"/>
              </w:rPr>
              <w:t xml:space="preserve"> </w:t>
            </w:r>
            <w:r>
              <w:rPr>
                <w:rFonts w:ascii="NewsGotT" w:hAnsi="NewsGotT" w:cs="NewsGotT"/>
              </w:rPr>
              <w:t>Excedente del ejercicio:</w:t>
            </w:r>
          </w:p>
          <w:p w14:paraId="7E8B2680" w14:textId="77777777" w:rsidR="00000000" w:rsidRDefault="00000000">
            <w:pPr>
              <w:rPr>
                <w:rFonts w:ascii="NewsGotT" w:hAnsi="NewsGotT" w:cs="NewsGotT"/>
              </w:rPr>
            </w:pPr>
          </w:p>
          <w:p w14:paraId="3B510B77" w14:textId="77777777" w:rsidR="00000000" w:rsidRDefault="00000000">
            <w:r>
              <w:rPr>
                <w:rFonts w:ascii="NewsGotT" w:eastAsia="NewsGotT" w:hAnsi="NewsGotT" w:cs="NewsGotT"/>
              </w:rPr>
              <w:t xml:space="preserve">                                </w:t>
            </w:r>
            <w:r>
              <w:rPr>
                <w:rFonts w:ascii="NewsGotT" w:hAnsi="NewsGotT" w:cs="NewsGotT"/>
              </w:rPr>
              <w:t>Saldo acreedor: positivo</w:t>
            </w:r>
          </w:p>
          <w:p w14:paraId="2F319D96" w14:textId="77777777" w:rsidR="00000000" w:rsidRDefault="00000000">
            <w:r>
              <w:rPr>
                <w:rFonts w:ascii="NewsGotT" w:eastAsia="NewsGotT" w:hAnsi="NewsGotT" w:cs="NewsGotT"/>
              </w:rPr>
              <w:t xml:space="preserve">                                </w:t>
            </w:r>
            <w:r>
              <w:rPr>
                <w:rFonts w:ascii="NewsGotT" w:hAnsi="NewsGotT" w:cs="NewsGotT"/>
              </w:rPr>
              <w:t>Saldo deudor: negativo</w:t>
            </w:r>
          </w:p>
        </w:tc>
      </w:tr>
      <w:tr w:rsidR="00000000" w14:paraId="3489D441" w14:textId="7777777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48311" w14:textId="77777777" w:rsidR="00000000" w:rsidRDefault="00000000">
            <w:pPr>
              <w:pStyle w:val="Ttulo1"/>
            </w:pPr>
            <w:r>
              <w:rPr>
                <w:rFonts w:ascii="NewsGotT" w:hAnsi="NewsGotT" w:cs="NewsGotT"/>
              </w:rPr>
              <w:t xml:space="preserve">Ajustes positivos </w:t>
            </w:r>
            <w:r>
              <w:rPr>
                <w:rFonts w:ascii="NewsGotT" w:hAnsi="NewsGotT" w:cs="NewsGotT"/>
                <w:color w:val="FF0000"/>
                <w:sz w:val="16"/>
              </w:rPr>
              <w:t>2</w:t>
            </w:r>
          </w:p>
          <w:p w14:paraId="0D64C559" w14:textId="77777777" w:rsidR="00000000" w:rsidRDefault="00000000">
            <w:pPr>
              <w:rPr>
                <w:rFonts w:ascii="NewsGotT" w:hAnsi="NewsGotT" w:cs="NewsGotT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9436" w14:textId="77777777" w:rsidR="00000000" w:rsidRDefault="00000000">
            <w:r>
              <w:rPr>
                <w:rFonts w:ascii="NewsGotT" w:hAnsi="NewsGotT" w:cs="NewsGotT"/>
              </w:rPr>
              <w:t xml:space="preserve">(+) Importe   </w:t>
            </w:r>
          </w:p>
        </w:tc>
      </w:tr>
      <w:tr w:rsidR="00000000" w14:paraId="78B5EB5A" w14:textId="7777777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0862D" w14:textId="77777777" w:rsidR="00000000" w:rsidRDefault="00000000">
            <w:pPr>
              <w:pStyle w:val="Ttulo1"/>
            </w:pPr>
            <w:r>
              <w:rPr>
                <w:rFonts w:ascii="NewsGotT" w:hAnsi="NewsGotT" w:cs="NewsGotT"/>
              </w:rPr>
              <w:t xml:space="preserve">Ajustes negativos </w:t>
            </w:r>
            <w:r>
              <w:rPr>
                <w:rFonts w:ascii="NewsGotT" w:hAnsi="NewsGotT" w:cs="NewsGotT"/>
                <w:color w:val="FF0000"/>
                <w:sz w:val="16"/>
              </w:rPr>
              <w:t>3</w:t>
            </w:r>
          </w:p>
          <w:p w14:paraId="7748278A" w14:textId="77777777" w:rsidR="00000000" w:rsidRDefault="00000000">
            <w:pPr>
              <w:rPr>
                <w:rFonts w:ascii="NewsGotT" w:hAnsi="NewsGotT" w:cs="NewsGotT"/>
                <w:b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1C601" w14:textId="77777777" w:rsidR="00000000" w:rsidRDefault="00000000">
            <w:r>
              <w:rPr>
                <w:rFonts w:ascii="NewsGotT" w:hAnsi="NewsGotT" w:cs="NewsGotT"/>
              </w:rPr>
              <w:t>(-) Importe</w:t>
            </w:r>
          </w:p>
        </w:tc>
      </w:tr>
      <w:tr w:rsidR="00000000" w14:paraId="24559B00" w14:textId="7777777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2D779" w14:textId="77777777" w:rsidR="00000000" w:rsidRDefault="00000000">
            <w:pPr>
              <w:pStyle w:val="Ttulo1"/>
            </w:pPr>
            <w:r>
              <w:rPr>
                <w:rFonts w:ascii="NewsGotT" w:hAnsi="NewsGotT" w:cs="NewsGotT"/>
              </w:rPr>
              <w:t>BASE DE CALCULO</w:t>
            </w:r>
            <w:r>
              <w:rPr>
                <w:rFonts w:ascii="NewsGotT" w:hAnsi="NewsGotT" w:cs="NewsGotT"/>
                <w:color w:val="FF0000"/>
                <w:sz w:val="16"/>
              </w:rPr>
              <w:t xml:space="preserve"> 4</w:t>
            </w:r>
          </w:p>
          <w:p w14:paraId="4BE13FDB" w14:textId="77777777" w:rsidR="00000000" w:rsidRDefault="00000000">
            <w:pPr>
              <w:pStyle w:val="Ttulo1"/>
              <w:rPr>
                <w:rFonts w:ascii="NewsGotT" w:hAnsi="NewsGotT" w:cs="NewsGotT"/>
              </w:rPr>
            </w:pP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B9AFD" w14:textId="77777777" w:rsidR="00000000" w:rsidRDefault="00000000">
            <w:r>
              <w:rPr>
                <w:rFonts w:ascii="NewsGotT" w:hAnsi="NewsGotT" w:cs="NewsGotT"/>
              </w:rPr>
              <w:t>Podrá ser positiva o negativa</w:t>
            </w:r>
          </w:p>
        </w:tc>
      </w:tr>
      <w:tr w:rsidR="00000000" w14:paraId="35ABEFF7" w14:textId="7777777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82698" w14:textId="77777777" w:rsidR="00000000" w:rsidRDefault="00000000">
            <w:proofErr w:type="gramStart"/>
            <w:r>
              <w:rPr>
                <w:rFonts w:ascii="NewsGotT" w:hAnsi="NewsGotT" w:cs="NewsGotT"/>
              </w:rPr>
              <w:t>Cuantía a destinar</w:t>
            </w:r>
            <w:proofErr w:type="gramEnd"/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55A8" w14:textId="77777777" w:rsidR="00000000" w:rsidRDefault="00000000">
            <w:r>
              <w:rPr>
                <w:rFonts w:ascii="NewsGotT" w:hAnsi="NewsGotT" w:cs="NewsGotT"/>
              </w:rPr>
              <w:t>70% de la Base de Cálculo si es positiva</w:t>
            </w:r>
          </w:p>
        </w:tc>
      </w:tr>
    </w:tbl>
    <w:p w14:paraId="2021B0B9" w14:textId="77777777" w:rsidR="00000000" w:rsidRDefault="00000000">
      <w:pPr>
        <w:rPr>
          <w:rFonts w:ascii="NewsGotT" w:hAnsi="NewsGotT" w:cs="NewsGotT"/>
        </w:rPr>
      </w:pPr>
    </w:p>
    <w:p w14:paraId="47856274" w14:textId="77777777" w:rsidR="00000000" w:rsidRDefault="00000000">
      <w:r>
        <w:rPr>
          <w:rFonts w:ascii="NewsGotT" w:hAnsi="NewsGotT" w:cs="NewsGotT"/>
        </w:rPr>
        <w:t>Tabla 1. Cálculo de la cuantía a destinar para un ejercicio económico</w:t>
      </w:r>
    </w:p>
    <w:p w14:paraId="631ECD49" w14:textId="77777777" w:rsidR="00000000" w:rsidRDefault="00000000">
      <w:pPr>
        <w:rPr>
          <w:rFonts w:ascii="NewsGotT" w:hAnsi="NewsGotT" w:cs="NewsGotT"/>
        </w:rPr>
      </w:pPr>
    </w:p>
    <w:p w14:paraId="2FB65EDC" w14:textId="77777777" w:rsidR="00000000" w:rsidRDefault="00000000">
      <w:pPr>
        <w:rPr>
          <w:rFonts w:ascii="NewsGotT" w:hAnsi="NewsGotT" w:cs="NewsGotT"/>
        </w:rPr>
      </w:pPr>
    </w:p>
    <w:p w14:paraId="0261E2A3" w14:textId="77777777" w:rsidR="00000000" w:rsidRDefault="00000000">
      <w:pPr>
        <w:rPr>
          <w:rFonts w:ascii="NewsGotT" w:hAnsi="NewsGotT" w:cs="NewsGotT"/>
        </w:rPr>
      </w:pPr>
    </w:p>
    <w:p w14:paraId="004029FC" w14:textId="77777777" w:rsidR="00000000" w:rsidRDefault="00000000">
      <w:pPr>
        <w:rPr>
          <w:rFonts w:ascii="NewsGotT" w:hAnsi="NewsGotT" w:cs="NewsGotT"/>
        </w:rPr>
      </w:pPr>
      <w:r>
        <w:lastRenderedPageBreak/>
        <w:pict w14:anchorId="2A3A8D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4pt;width:424.85pt;height:89.25pt;z-index:1;mso-wrap-distance-left:9.05pt;mso-wrap-distance-top:0;mso-wrap-distance-right:9.05pt;mso-wrap-distance-bottom:0;mso-position-horizontal:absolute;mso-position-horizontal-relative:text;mso-position-vertical:absolute;mso-position-vertical-relative:text" filled="t">
            <v:fill color2="black"/>
            <v:imagedata r:id="rId5" o:title="" croptop="-40f" cropbottom="-40f" cropleft="-8f" cropright="-8f"/>
            <w10:wrap type="topAndBottom"/>
          </v:shape>
        </w:pict>
      </w:r>
    </w:p>
    <w:p w14:paraId="389766D1" w14:textId="76E7E516" w:rsidR="00000000" w:rsidRDefault="00000000">
      <w:r>
        <w:rPr>
          <w:rFonts w:ascii="NewsGotT" w:eastAsia="NewsGotT" w:hAnsi="NewsGotT" w:cs="NewsGotT"/>
        </w:rPr>
        <w:t xml:space="preserve"> </w:t>
      </w:r>
      <w:r>
        <w:rPr>
          <w:rFonts w:ascii="NewsGotT" w:hAnsi="NewsGotT" w:cs="NewsGotT"/>
        </w:rPr>
        <w:t xml:space="preserve">Tabla </w:t>
      </w:r>
      <w:r w:rsidR="00376809">
        <w:rPr>
          <w:rFonts w:ascii="NewsGotT" w:hAnsi="NewsGotT" w:cs="NewsGotT"/>
        </w:rPr>
        <w:t>2</w:t>
      </w:r>
      <w:r>
        <w:rPr>
          <w:rFonts w:ascii="NewsGotT" w:hAnsi="NewsGotT" w:cs="NewsGotT"/>
        </w:rPr>
        <w:t>. Cálculo de la cuantía a destinar en varios ejercicios económicos.</w:t>
      </w:r>
    </w:p>
    <w:p w14:paraId="2350283A" w14:textId="77777777" w:rsidR="00000000" w:rsidRDefault="00000000">
      <w:pPr>
        <w:rPr>
          <w:rFonts w:ascii="NewsGotT" w:hAnsi="NewsGotT" w:cs="NewsGotT"/>
        </w:rPr>
      </w:pPr>
    </w:p>
    <w:p w14:paraId="55240D83" w14:textId="3F14E0EF" w:rsidR="00000000" w:rsidRDefault="00376809">
      <w:pPr>
        <w:rPr>
          <w:rFonts w:ascii="NewsGotT" w:hAnsi="NewsGotT" w:cs="NewsGotT"/>
        </w:rPr>
      </w:pPr>
      <w:r>
        <w:rPr>
          <w:rFonts w:ascii="NewsGotT" w:hAnsi="NewsGotT" w:cs="NewsGotT"/>
        </w:rPr>
        <w:t>NOTAS EXPLICATIVAS</w:t>
      </w:r>
    </w:p>
    <w:p w14:paraId="63274FA0" w14:textId="77777777" w:rsidR="00000000" w:rsidRDefault="00000000">
      <w:r>
        <w:rPr>
          <w:rFonts w:ascii="NewsGotT" w:hAnsi="NewsGotT" w:cs="NewsGotT"/>
          <w:b/>
          <w:color w:val="FF0000"/>
          <w:sz w:val="16"/>
        </w:rPr>
        <w:t xml:space="preserve">1.  </w:t>
      </w:r>
      <w:r>
        <w:rPr>
          <w:rFonts w:ascii="NewsGotT" w:hAnsi="NewsGotT" w:cs="NewsGotT"/>
          <w:b/>
          <w:color w:val="000000"/>
        </w:rPr>
        <w:t>Resultado Contable del ejercicio</w:t>
      </w:r>
      <w:r>
        <w:rPr>
          <w:rFonts w:ascii="NewsGotT" w:hAnsi="NewsGotT" w:cs="NewsGotT"/>
          <w:color w:val="000000"/>
        </w:rPr>
        <w:t>.</w:t>
      </w:r>
    </w:p>
    <w:p w14:paraId="7626A2AF" w14:textId="77777777" w:rsidR="00000000" w:rsidRDefault="00000000">
      <w:pPr>
        <w:rPr>
          <w:rFonts w:ascii="NewsGotT" w:hAnsi="NewsGotT" w:cs="NewsGotT"/>
          <w:color w:val="000000"/>
        </w:rPr>
      </w:pPr>
    </w:p>
    <w:p w14:paraId="433C138D" w14:textId="77777777" w:rsidR="00000000" w:rsidRDefault="00000000">
      <w:r>
        <w:rPr>
          <w:rFonts w:ascii="NewsGotT" w:hAnsi="NewsGotT" w:cs="NewsGotT"/>
          <w:b/>
          <w:color w:val="FF0000"/>
          <w:sz w:val="16"/>
        </w:rPr>
        <w:t xml:space="preserve">2.  </w:t>
      </w:r>
      <w:r>
        <w:rPr>
          <w:rFonts w:ascii="NewsGotT" w:hAnsi="NewsGotT" w:cs="NewsGotT"/>
          <w:b/>
          <w:color w:val="000000"/>
        </w:rPr>
        <w:t>Ajustes positivos</w:t>
      </w:r>
      <w:r>
        <w:rPr>
          <w:rFonts w:ascii="NewsGotT" w:hAnsi="NewsGotT" w:cs="NewsGotT"/>
          <w:color w:val="000000"/>
        </w:rPr>
        <w:t>. Son gastos no deducibles:</w:t>
      </w:r>
    </w:p>
    <w:p w14:paraId="72C6EB5A" w14:textId="77777777" w:rsidR="00000000" w:rsidRDefault="00000000">
      <w:pPr>
        <w:ind w:left="705"/>
        <w:rPr>
          <w:rFonts w:ascii="NewsGotT" w:hAnsi="NewsGotT" w:cs="NewsGotT"/>
          <w:color w:val="000000"/>
        </w:rPr>
      </w:pPr>
    </w:p>
    <w:p w14:paraId="543FC172" w14:textId="77777777" w:rsidR="00000000" w:rsidRDefault="00000000">
      <w:pPr>
        <w:pStyle w:val="Sangradetextonormal"/>
        <w:ind w:left="708"/>
      </w:pPr>
      <w:r>
        <w:rPr>
          <w:rFonts w:ascii="NewsGotT" w:hAnsi="NewsGotT" w:cs="NewsGotT"/>
        </w:rPr>
        <w:t>- Gastos directamente relacionados con las actividades desarrolladas para el   cumplimiento de fines.</w:t>
      </w:r>
    </w:p>
    <w:p w14:paraId="2CED2608" w14:textId="77777777" w:rsidR="00000000" w:rsidRDefault="00000000">
      <w:pPr>
        <w:pStyle w:val="Sangradetextonormal"/>
        <w:ind w:left="708"/>
        <w:rPr>
          <w:rFonts w:ascii="NewsGotT" w:hAnsi="NewsGotT" w:cs="NewsGotT"/>
        </w:rPr>
      </w:pPr>
    </w:p>
    <w:p w14:paraId="20D8BECD" w14:textId="4EFDBA7B" w:rsidR="00000000" w:rsidRDefault="00000000">
      <w:pPr>
        <w:pStyle w:val="Sangradetextonormal"/>
        <w:ind w:left="708"/>
      </w:pPr>
      <w:r>
        <w:rPr>
          <w:rFonts w:ascii="NewsGotT" w:hAnsi="NewsGotT" w:cs="NewsGotT"/>
        </w:rPr>
        <w:t>- La parte proporcional de los gastos comunes al conjunto de actividades que correspondan a las desarrolladas para el cumplimiento de fines. (Criterio de imputación: la efectiva aplicación de recursos a cada actividad).</w:t>
      </w:r>
    </w:p>
    <w:p w14:paraId="361C734C" w14:textId="77777777" w:rsidR="00000000" w:rsidRDefault="00000000">
      <w:pPr>
        <w:pStyle w:val="Sangradetextonormal"/>
        <w:ind w:left="708"/>
        <w:rPr>
          <w:rFonts w:ascii="NewsGotT" w:hAnsi="NewsGotT" w:cs="NewsGotT"/>
        </w:rPr>
      </w:pPr>
    </w:p>
    <w:p w14:paraId="7C80069E" w14:textId="77777777" w:rsidR="00000000" w:rsidRDefault="00000000">
      <w:pPr>
        <w:pStyle w:val="Sangradetextonormal"/>
        <w:ind w:left="709" w:firstLine="0"/>
      </w:pPr>
      <w:r>
        <w:rPr>
          <w:rFonts w:ascii="NewsGotT" w:hAnsi="NewsGotT" w:cs="NewsGotT"/>
        </w:rPr>
        <w:t>Dichos gastos comunes podrán estar integrados, en su caso por los gastos por servicios exteriores, de personal, financieros, tributarios y otros gastos de Gestión y Administración y aquellos por los que los Patronos tienen derecho a ser resarcidos.</w:t>
      </w:r>
    </w:p>
    <w:p w14:paraId="568ADDB3" w14:textId="77777777" w:rsidR="00000000" w:rsidRDefault="00000000">
      <w:pPr>
        <w:pStyle w:val="Sangradetextonormal"/>
        <w:ind w:left="0" w:firstLine="0"/>
        <w:rPr>
          <w:rFonts w:ascii="NewsGotT" w:hAnsi="NewsGotT" w:cs="NewsGotT"/>
        </w:rPr>
      </w:pPr>
    </w:p>
    <w:p w14:paraId="2867F113" w14:textId="77777777" w:rsidR="00000000" w:rsidRDefault="00000000">
      <w:r>
        <w:rPr>
          <w:rFonts w:ascii="NewsGotT" w:hAnsi="NewsGotT" w:cs="NewsGotT"/>
          <w:b/>
          <w:color w:val="FF0000"/>
          <w:sz w:val="16"/>
        </w:rPr>
        <w:t xml:space="preserve">3.  </w:t>
      </w:r>
      <w:r>
        <w:rPr>
          <w:rFonts w:ascii="NewsGotT" w:hAnsi="NewsGotT" w:cs="NewsGotT"/>
          <w:b/>
          <w:color w:val="000000"/>
        </w:rPr>
        <w:t>Ajustes negativos</w:t>
      </w:r>
      <w:r>
        <w:rPr>
          <w:rFonts w:ascii="NewsGotT" w:hAnsi="NewsGotT" w:cs="NewsGotT"/>
          <w:color w:val="000000"/>
        </w:rPr>
        <w:t>. Son ingresos no computables:</w:t>
      </w:r>
    </w:p>
    <w:p w14:paraId="36981F99" w14:textId="77777777" w:rsidR="00000000" w:rsidRDefault="00000000">
      <w:pPr>
        <w:rPr>
          <w:rFonts w:ascii="NewsGotT" w:hAnsi="NewsGotT" w:cs="NewsGotT"/>
          <w:b/>
          <w:color w:val="000000"/>
        </w:rPr>
      </w:pPr>
    </w:p>
    <w:p w14:paraId="0501052E" w14:textId="77777777" w:rsidR="00000000" w:rsidRDefault="00000000">
      <w:pPr>
        <w:pStyle w:val="Sangradetextonormal"/>
        <w:ind w:left="708"/>
      </w:pPr>
      <w:r>
        <w:rPr>
          <w:rFonts w:ascii="NewsGotT" w:hAnsi="NewsGotT" w:cs="NewsGotT"/>
        </w:rPr>
        <w:t>- Las aportaciones o donaciones recibidas en concepto de Dotación en el momento de la constitución o en un momento posterior.</w:t>
      </w:r>
    </w:p>
    <w:p w14:paraId="13306BF6" w14:textId="77777777" w:rsidR="00000000" w:rsidRDefault="00000000">
      <w:pPr>
        <w:pStyle w:val="Sangradetextonormal"/>
        <w:ind w:left="708"/>
        <w:rPr>
          <w:rFonts w:ascii="NewsGotT" w:hAnsi="NewsGotT" w:cs="NewsGotT"/>
        </w:rPr>
      </w:pPr>
    </w:p>
    <w:p w14:paraId="43AA8353" w14:textId="77777777" w:rsidR="00000000" w:rsidRDefault="00000000">
      <w:pPr>
        <w:pStyle w:val="Sangradetextonormal"/>
        <w:ind w:left="708"/>
      </w:pPr>
      <w:r>
        <w:rPr>
          <w:rFonts w:ascii="NewsGotT" w:hAnsi="NewsGotT" w:cs="NewsGotT"/>
        </w:rPr>
        <w:t>- La contraprestación que se obtenga por la enajenación o gravamen de los bienes y derechos que formen parte de la dotación, así como de aquellos otros afectados por el Patronato, con carácter permanente, a los fines fundacionales, incluida la plusvalía que se pudiera haber generado.</w:t>
      </w:r>
    </w:p>
    <w:p w14:paraId="7F7CE183" w14:textId="77777777" w:rsidR="00000000" w:rsidRDefault="00000000">
      <w:pPr>
        <w:pStyle w:val="Sangradetextonormal"/>
        <w:ind w:left="708"/>
        <w:rPr>
          <w:rFonts w:ascii="NewsGotT" w:hAnsi="NewsGotT" w:cs="NewsGotT"/>
        </w:rPr>
      </w:pPr>
    </w:p>
    <w:p w14:paraId="74E46109" w14:textId="77777777" w:rsidR="00000000" w:rsidRDefault="00000000">
      <w:pPr>
        <w:pStyle w:val="Sangradetextonormal"/>
        <w:ind w:left="708"/>
      </w:pPr>
      <w:r>
        <w:rPr>
          <w:rFonts w:ascii="NewsGotT" w:hAnsi="NewsGotT" w:cs="NewsGotT"/>
        </w:rPr>
        <w:t>- Los ingresos obtenidos en la transmisión de bienes inmuebles en los que la fundación desarrolla la actividad propia de su objeto o finalidad específica, siempre que el importe de la citada transmisión se reinvierta en bienes inmuebles en los que concurra dicha circunstancia.</w:t>
      </w:r>
    </w:p>
    <w:p w14:paraId="786B9F9C" w14:textId="77777777" w:rsidR="00000000" w:rsidRDefault="00000000">
      <w:pPr>
        <w:pStyle w:val="Sangradetextonormal"/>
        <w:ind w:left="0" w:firstLine="0"/>
        <w:rPr>
          <w:rFonts w:ascii="NewsGotT" w:hAnsi="NewsGotT" w:cs="NewsGotT"/>
        </w:rPr>
      </w:pPr>
    </w:p>
    <w:p w14:paraId="53D721ED" w14:textId="77777777" w:rsidR="00000000" w:rsidRDefault="00000000">
      <w:r>
        <w:rPr>
          <w:rFonts w:ascii="NewsGotT" w:hAnsi="NewsGotT" w:cs="NewsGotT"/>
          <w:b/>
          <w:color w:val="FF0000"/>
          <w:sz w:val="16"/>
        </w:rPr>
        <w:t xml:space="preserve">4.  </w:t>
      </w:r>
      <w:r>
        <w:rPr>
          <w:rFonts w:ascii="NewsGotT" w:hAnsi="NewsGotT" w:cs="NewsGotT"/>
          <w:b/>
          <w:color w:val="000000"/>
        </w:rPr>
        <w:t>Base de Cálculo sobre la que aplicar el porcentaje del 70%</w:t>
      </w:r>
      <w:r>
        <w:rPr>
          <w:rFonts w:ascii="NewsGotT" w:hAnsi="NewsGotT" w:cs="NewsGotT"/>
          <w:color w:val="000000"/>
        </w:rPr>
        <w:t>.</w:t>
      </w:r>
    </w:p>
    <w:p w14:paraId="7F3D5D7B" w14:textId="77777777" w:rsidR="00000000" w:rsidRDefault="00000000">
      <w:pPr>
        <w:rPr>
          <w:rFonts w:ascii="NewsGotT" w:hAnsi="NewsGotT" w:cs="NewsGotT"/>
          <w:color w:val="000000"/>
        </w:rPr>
      </w:pPr>
    </w:p>
    <w:p w14:paraId="70383676" w14:textId="0FCE58CB" w:rsidR="00000000" w:rsidRDefault="00000000">
      <w:pPr>
        <w:ind w:firstLine="708"/>
      </w:pPr>
      <w:r>
        <w:rPr>
          <w:rFonts w:ascii="NewsGotT" w:hAnsi="NewsGotT" w:cs="NewsGotT"/>
          <w:color w:val="000000"/>
        </w:rPr>
        <w:t>Resultado Contable (+) Ajustes Positivos (-) Ajustes Negativos = Base de Cálculo.</w:t>
      </w:r>
    </w:p>
    <w:p w14:paraId="378E3398" w14:textId="77777777" w:rsidR="00000000" w:rsidRDefault="00000000">
      <w:pPr>
        <w:ind w:firstLine="708"/>
        <w:rPr>
          <w:rFonts w:ascii="NewsGotT" w:hAnsi="NewsGotT" w:cs="NewsGotT"/>
          <w:color w:val="000000"/>
        </w:rPr>
      </w:pPr>
    </w:p>
    <w:p w14:paraId="655E2941" w14:textId="770EDA01" w:rsidR="00000000" w:rsidRDefault="00000000">
      <w:r>
        <w:rPr>
          <w:rFonts w:ascii="NewsGotT" w:hAnsi="NewsGotT" w:cs="NewsGotT"/>
          <w:b/>
          <w:color w:val="FF0000"/>
        </w:rPr>
        <w:t xml:space="preserve">5.  </w:t>
      </w:r>
      <w:r>
        <w:rPr>
          <w:rFonts w:ascii="NewsGotT" w:hAnsi="NewsGotT" w:cs="NewsGotT"/>
          <w:b/>
          <w:color w:val="000000"/>
        </w:rPr>
        <w:t>Importe destinado a fines propios.</w:t>
      </w:r>
    </w:p>
    <w:p w14:paraId="6861970D" w14:textId="77777777" w:rsidR="00000000" w:rsidRDefault="00000000">
      <w:pPr>
        <w:rPr>
          <w:rFonts w:ascii="NewsGotT" w:hAnsi="NewsGotT" w:cs="NewsGotT"/>
          <w:b/>
          <w:color w:val="000000"/>
        </w:rPr>
      </w:pPr>
    </w:p>
    <w:p w14:paraId="02ECB1E8" w14:textId="77777777" w:rsidR="00000000" w:rsidRDefault="00000000">
      <w:r>
        <w:rPr>
          <w:rFonts w:ascii="NewsGotT" w:hAnsi="NewsGotT" w:cs="NewsGotT"/>
          <w:b/>
          <w:color w:val="000000"/>
        </w:rPr>
        <w:tab/>
      </w:r>
      <w:r>
        <w:rPr>
          <w:rFonts w:ascii="NewsGotT" w:hAnsi="NewsGotT" w:cs="NewsGotT"/>
          <w:color w:val="000000"/>
        </w:rPr>
        <w:t>Importe realmente destinado a fines propios en cada ejercicio.</w:t>
      </w:r>
    </w:p>
    <w:p w14:paraId="4D71BF23" w14:textId="77777777" w:rsidR="00000000" w:rsidRDefault="00000000">
      <w:pPr>
        <w:rPr>
          <w:rFonts w:ascii="NewsGotT" w:hAnsi="NewsGotT" w:cs="NewsGotT"/>
          <w:color w:val="000000"/>
        </w:rPr>
      </w:pPr>
    </w:p>
    <w:p w14:paraId="1FBE81DA" w14:textId="4133B0B5" w:rsidR="00000000" w:rsidRDefault="00000000">
      <w:pPr>
        <w:ind w:left="1410"/>
      </w:pPr>
      <w:r>
        <w:rPr>
          <w:rFonts w:ascii="NewsGotT" w:hAnsi="NewsGotT" w:cs="NewsGotT"/>
          <w:color w:val="000000"/>
        </w:rPr>
        <w:t>a. Gastos por las actividades propias (gastos efectivamente generados para el cumplimiento de fines excepto las dotaciones a las amortizaciones y provisiones).</w:t>
      </w:r>
    </w:p>
    <w:p w14:paraId="6A885465" w14:textId="77777777" w:rsidR="00000000" w:rsidRDefault="00000000">
      <w:pPr>
        <w:ind w:left="1410"/>
        <w:rPr>
          <w:rFonts w:ascii="NewsGotT" w:hAnsi="NewsGotT" w:cs="NewsGotT"/>
          <w:color w:val="000000"/>
        </w:rPr>
      </w:pPr>
    </w:p>
    <w:p w14:paraId="0B1A9C7B" w14:textId="3526A904" w:rsidR="00000000" w:rsidRDefault="00000000">
      <w:pPr>
        <w:ind w:left="1410"/>
      </w:pPr>
      <w:r>
        <w:rPr>
          <w:rFonts w:ascii="NewsGotT" w:hAnsi="NewsGotT" w:cs="NewsGotT"/>
          <w:color w:val="000000"/>
        </w:rPr>
        <w:t>b. Inversiones destinadas a la</w:t>
      </w:r>
      <w:r w:rsidR="00376809">
        <w:rPr>
          <w:rFonts w:ascii="NewsGotT" w:hAnsi="NewsGotT" w:cs="NewsGotT"/>
          <w:color w:val="000000"/>
        </w:rPr>
        <w:t>s</w:t>
      </w:r>
      <w:r>
        <w:rPr>
          <w:rFonts w:ascii="NewsGotT" w:hAnsi="NewsGotT" w:cs="NewsGotT"/>
          <w:color w:val="000000"/>
        </w:rPr>
        <w:t xml:space="preserve"> actividades propias (excepto las dotaciones a las amortizaciones y provisiones).</w:t>
      </w:r>
    </w:p>
    <w:p w14:paraId="16F1E2D8" w14:textId="77777777" w:rsidR="00000000" w:rsidRDefault="00000000">
      <w:pPr>
        <w:ind w:left="1410"/>
        <w:rPr>
          <w:rFonts w:ascii="NewsGotT" w:hAnsi="NewsGotT" w:cs="NewsGotT"/>
          <w:color w:val="000000"/>
        </w:rPr>
      </w:pPr>
    </w:p>
    <w:p w14:paraId="5A9DA507" w14:textId="1F060233" w:rsidR="00BA035A" w:rsidRDefault="00000000" w:rsidP="00376809">
      <w:pPr>
        <w:ind w:left="1410"/>
        <w:rPr>
          <w:rFonts w:ascii="NewsGotT" w:hAnsi="NewsGotT" w:cs="NewsGotT"/>
          <w:b/>
          <w:color w:val="000000"/>
        </w:rPr>
      </w:pPr>
      <w:r>
        <w:rPr>
          <w:rFonts w:ascii="NewsGotT" w:hAnsi="NewsGotT" w:cs="NewsGotT"/>
          <w:color w:val="000000"/>
        </w:rPr>
        <w:t>%. Calcula el porcentaje realmente destinado a fines propios en ese ejercicio en concreto.</w:t>
      </w:r>
    </w:p>
    <w:sectPr w:rsidR="00BA035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NewsGotT">
    <w:altName w:val="Cambria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C537AE"/>
    <w:multiLevelType w:val="multilevel"/>
    <w:tmpl w:val="98EACB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5B4224A"/>
    <w:multiLevelType w:val="multilevel"/>
    <w:tmpl w:val="4B1033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3162842">
    <w:abstractNumId w:val="0"/>
  </w:num>
  <w:num w:numId="2" w16cid:durableId="1270816411">
    <w:abstractNumId w:val="2"/>
  </w:num>
  <w:num w:numId="3" w16cid:durableId="2106263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01"/>
    <w:rsid w:val="000A7301"/>
    <w:rsid w:val="00376809"/>
    <w:rsid w:val="00B4579C"/>
    <w:rsid w:val="00BA035A"/>
    <w:rsid w:val="00D6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70EEE97"/>
  <w15:chartTrackingRefBased/>
  <w15:docId w15:val="{B9CAE43A-0EAC-489A-90AA-5E085B45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6809"/>
    <w:pPr>
      <w:keepNext/>
      <w:spacing w:before="240" w:after="60"/>
      <w:outlineLvl w:val="2"/>
    </w:pPr>
    <w:rPr>
      <w:rFonts w:ascii="Aptos Display" w:hAnsi="Aptos Display" w:cs="Mangal"/>
      <w:b/>
      <w:bCs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angradetextonormal">
    <w:name w:val="Body Text Indent"/>
    <w:basedOn w:val="Normal"/>
    <w:pPr>
      <w:ind w:left="851" w:hanging="146"/>
    </w:pPr>
    <w:rPr>
      <w:rFonts w:ascii="Tahoma" w:hAnsi="Tahoma" w:cs="Tahoma"/>
      <w:color w:val="00000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customStyle="1" w:styleId="Ttulo3Car">
    <w:name w:val="Título 3 Car"/>
    <w:link w:val="Ttulo3"/>
    <w:uiPriority w:val="9"/>
    <w:semiHidden/>
    <w:rsid w:val="00376809"/>
    <w:rPr>
      <w:rFonts w:ascii="Aptos Display" w:eastAsia="Times New Roman" w:hAnsi="Aptos Display" w:cs="Mangal"/>
      <w:b/>
      <w:bCs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DESTINO DE RENTAS E INGRESOS </vt:lpstr>
    </vt:vector>
  </TitlesOfParts>
  <Company>Junta de Andalucia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DESTINO DE RENTAS E INGRESOS </dc:title>
  <dc:subject/>
  <dc:creator>ricj-asertec2</dc:creator>
  <cp:keywords/>
  <cp:lastModifiedBy>JOSE MARIA MAZA GONGORA</cp:lastModifiedBy>
  <cp:revision>2</cp:revision>
  <cp:lastPrinted>2009-01-23T12:35:00Z</cp:lastPrinted>
  <dcterms:created xsi:type="dcterms:W3CDTF">2025-04-23T09:33:00Z</dcterms:created>
  <dcterms:modified xsi:type="dcterms:W3CDTF">2025-04-23T09:33:00Z</dcterms:modified>
</cp:coreProperties>
</file>